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pptx" ContentType="application/vnd.openxmlformats-officedocument.presentationml.presentation"/>
  <Default Extension="ppt" ContentType="application/vnd.ms-powerpoint"/>
  <Default Extension="xlsx" ContentType="application/vnd.openxmlformats-officedocument.spreadsheetml.sheet"/>
  <Default Extension="xls" ContentType="application/vnd.ms-exce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oter10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xmlns:a14="http://schemas.microsoft.com/office/drawing/2010/main" mc:Ignorable="w14 wp14">
  <w:body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HY견고딕" w:eastAsia="HY견고딕"/>
          <w:color w:val="000000"/>
          <w:spacing w:val="0"/>
          <w:w w:val="100"/>
          <w:position w:val="0"/>
          <w:sz w:val="28"/>
          <w:lang/>
        </w:rPr>
      </w:pPr>
      <w:r>
        <w:fldChar w:fldCharType="begin"/>
      </w:r>
      <w:r>
        <w:fldChar w:fldCharType="end"/>
      </w:r>
      <w:r>
        <w:rPr>
          <w:rFonts w:ascii="HY견고딕" w:eastAsia="HY견고딕"/>
          <w:color w:val="000000"/>
          <w:spacing w:val="0"/>
          <w:w w:val="100"/>
          <w:position w:val="0"/>
          <w:sz w:val="28"/>
          <w:lang/>
        </w:rPr>
        <w:t xml:space="preserve">용어 및 어휘 해설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8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8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A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API (Advance Passenger Information)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사전 승객 정보 시스템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기계판독형여행증명서를 이용하여 항공사가 승객 명단을 도착지의 세관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출입국관리소 및 여타 기관에 온라인으로 미리 발송하는 시스템이다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시스템은 항공편이 도착하기에 앞서서 국경관리관들이 승객 정보를 처리할 수 있게끔 해준다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16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Administrative removal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행정적 강제퇴거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강제출국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체류기간 초과자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(overstayer),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체류조건을 위반하여 노동을 하는 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편의를 요구하는 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잔류를 허락하는 공식 허가를 얻고자  기만적 행위를 하는 자에게 적용된다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Adversarial/non-adversarial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당사자주의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비당사자주의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영미법 체계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당사자주의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adversarial)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와 대륙법 체계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비당사자 주의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non-adversarial,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규문주의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inquisitorial)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근본적 차이점을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영미법 체계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(common law)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에서는 기본적으로 두 당사자들에 의해 논쟁이 되는 사안이 선택되는 재판절차를 따르는 반면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대륙법 체계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(civil codes)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에서는 당국자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재판소 혹은 법원이 논쟁 사안들을 결정하고 재판부의 주도하에 재판이 이루어지는 과정이다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이주지위결정 및 상소 제도는 비당사주의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규문주의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당사자주의를 따를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Alien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외국인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타국의 시민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국적자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 사람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체류국의 시민권을 가지고 있지 않은 사람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Analysis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분석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현상의 본질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원인 및 결과를 이해하기 위하여 상관관계나 경향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주요 사건 등 일련의 정해진 개념들을 적용하여 검토하는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분석에 사용되는 이러한 개념들은 사실을 확인하고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의문점을 제기하거나 그에 대한 답변을 찾으며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결론에 도달하기 위해 정보의 처리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해석 및 통합의 과정을 지원한다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Assimilation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동화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소수 집단이 주류 문화의 관습과 태도에 점진적으로 적응해 가는 과정을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Assisted return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귀환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지원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귀환 지원은 국가나 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3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예컨대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국제기구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 개인에게 귀환을 위한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때때로 재통합을 위한 재정적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조직적 지원을 제공하는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Asylum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비호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庇護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)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박해나 심각한 위험을 피해 타국을 빠져나온 자국 영토 내에 머무르고 있는 사람들에 대해 국가가 보호를 제공하는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비호는 다양한 요소들을 아우르고 있는데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강제송환금지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비호국 영토 내에서의 체류 허가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처우에 있어서의 인도적 기준 등이 포함된다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Asylum-seeker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비호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庇護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신청인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비호 요구 혹은 신청에 대한 최종 결정이 아직 피난국가로부터 내려지지 않은 상태에 있는 사람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Authentication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확인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진위확인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여행증명서의 진위를 확인하는 절차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인증을 위해 기계판독형여행증명서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(MRTD)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생체인식기술을 결합시킬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B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Binding laws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구속력 있는 법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국제법은 그것을 채택한 국가에 대해서만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구속력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제한을 가하거나 권리를 부여함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을 가진다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그러나 조약상의 규범이 관습법의 일부일 경우 그 규범은 조약의 비당사국에 대해서도 구속력을 가질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Biometrics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생체인식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안면 형상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지문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홍채를 포함한 신체적 특징들이 기계판독형 여행증명서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(MRTD)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결합되어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소지자가 여행증명서를 사용할 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여행증명서와 그 소지자를 비교하도록 해준다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생체인식은 증명서를 가진 자가 정당한 소지자이므로 그 증명서는 적법하다는 것을 증명함으로써 그 문서를 인증하는 수단으로 쓰인다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개인의 생체인식 정보는 입국 시 미리 선별된 사증면제 여행자를 증명하기 위한 데이터베이스나 신분증에도 저장된다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Book format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북포맷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기계판독형여권의 행태를 설명하는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Brain drain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두뇌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유출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교육수준이 높고 숙련된 인력이 한 국가에서 다른 국가로 이동하는 것을 지칭하는 용어로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이는 보통 이러한 현상은 송출국가에게 손실로 작용한다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왜냐하면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고급기술인력의 이출민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(emigration)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생산저하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트레이닝과 교육측면에서의 공적투자 손실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세입감소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등으로 이어지기 때문이다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Business travelers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사업상 여행자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비즈니스 여행자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경제활동을 목적으로 단기간 입국이 허락된 외국인으로서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경제활동에 대한 임금을 입국한 국가가 아닌 외부로부터 받는 자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C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CEC (Commission of European Communities) 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유럽공동체 집행위원회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Card format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카드 포맷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신용카드 크기로 발행된 기계판독형여권이나 여행 카드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Carriers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운송회사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육로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해로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항로를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통한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승객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수송 업무를 담당하는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운송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회사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Centralization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중앙집권화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중앙본부가 권력을 가지고 행사하는 조직의 형태로써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지역에 소재한 지부는 중앙 기관에 보고할 의무가 있으며 중앙 기관에 대하여 책임을 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Cessation clauses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정지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조항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 지위가 종료되는 때를 설명하는 법 조항들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정지 조항은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1951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난민지위에 관한 협약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1C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1969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아프리카 난민문제의 특정한 양상을 규율하는 아프리카 통일기구 협약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4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항에 나타나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Chip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칩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전도력있고 자료 저장 및 처리가 가능한 작은 기판으로서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여행증명서에 결합될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기판은 진위확인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(authentication)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그리고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본인확인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(verification)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을 위해 증명서 판독기와 상호작용한다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Circular migration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순환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일정기간동안 이주자가 출신국으로 한 번 혹은 그 이상 귀환하는 이동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이러한 이주자들은 단기간 체류국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(host country)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체류하고 출신국으로 정기적으로 돌아간다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Citizenship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시민권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시민권에 대한 개념은 나라마다 다르고 학문간에 차이를 보인다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시민권은 두 가지의 기본적 의미를 가지고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즉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민족 국가의 구성원으로서의 법적 지위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,(ii)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반드시 민족 국가는 아니더라도 한 공동체의 구성원으로서의 지위를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예컨대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유럽 시민권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세계 시민권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탈국가적 시민권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(post-national citizenship)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”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등이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Coercion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강제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타인이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본인의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의지와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반대되는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행동을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하도록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물리적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힘이나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심리적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압박을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가하는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것을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Collection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컬렉션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최종 정보 산물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(intelligence product)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생산의 바탕이 되는 이주관련 인포메이션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(information)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모음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Commitment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약속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양허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'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서비스 교역에 관한 일반협정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(General Agreement on Trade in Service, GATS)'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법적 구속력이 있으며 다자적으로 이행되는 약속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Compliance mechanisms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준수기제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확립된 요구사항들이 준수되도록 하는 제도적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행정적 체제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(arrangements)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Conceptual model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개념 모델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시스템에 대해 주로 문서로 씌어진 설명 또는 순서도의 형태로 표현된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도식적 묘사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이것은 설명하고자 하는 시스템의 알려진 또는 추정되는 특성들을 시각적으로 나타낸다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개념적 모델은 시스템의 특징을 심도있게 연구하기 위해 사용되기도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Contract migrant workers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계약 이주노동자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고용기간과 구체적인 업무를 규정하는 계약을 체결하여 자국이 아닌 타국에서 일하는 사람들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일단 취업국에 입국하면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계약 이주 노동자들은 직업을 변경할 수 없으며 그들이 맡은 업무가 지속되고 있는 가에 관계없이 계약이 만료되는 즉시 취업국을 떠나도록 기대되어 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때때로 계약 갱신이 가능할지라도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계약이 갱신되기 이전에 취업국으로부터의 출국이 의무적으로 요구되기도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Control authorities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통제 기관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/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통제 당국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국가정부 내부에 속해 있는 행정적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조직적 단위로서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정규 이주자들의 질서있는 이동을 관리하고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비정규적 이주 및 불법 이주를 통제할 책임을 지닌다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Convention refugees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협약 난민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난민지위에 관한 협약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1A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조에 규정된 기준 하에서 국가에 의해 난민으로 인정된 사람들로서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당해 협약을 근거로 다양한 권리를 향유할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Country of destination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이주대상국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목적국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도착국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이주이동에 관여한 자가 도착하고자 하는 국가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Country of origin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출신국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이주이동에 관여한 자가 거주하다가 출국한 국가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이는 민족 귀환이나 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비호국으로의 귀환의 경우에 쓰이는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귀환국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과는 다른 개념이다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Country of return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귀환국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개인이 귀환되어지는 국가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이는 그 개인의 출신국일 수도 있고 이전의 상주국일 수도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그러나 경유국으로의 비국적민의 재입국을 다루는 재입국협정의 수가 점차 늘어나고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Country of transit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경유국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이주자가 목적한 곳으로 가기위한 과정 중에 위치한 중간 국가 혹은 통과 국가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Customary international law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국제관습법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조약이나 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문서에 있는 공식 표현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아니라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지속적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이며 일관되게 행해 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관습으로부터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권위가 유래된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국제법이다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국제관습법은 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별 국가가 기여한 결과에 따라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변화한다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어떤 국가가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국제사회에서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스스로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법적 의무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라고 규정한 것에 따라 행위를 행하면 이러한 관행은 국제관습법을 형성하는 데 기여하게 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국가가 기여한 선례를 다른 국가들이 채택하여 지속적으로 따를 경우 국제관습법이 형성된다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Customary law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관습법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국가들에 의해 법으로 인정된 일반화된 관행의 증거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D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Data page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데이터  페이지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인적사항면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)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기계판독여권 내에 있는 고정형식페이지로서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시각자료와 기계판독자료의 표준화된 기록형식을 보여준다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De facto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법률용어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실제적으로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사실상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사실의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De jure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법률용어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법에 따르면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Decentralization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분권화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일반 정책목표들을 이행하기 위하여 상당한 수준의 자유재량이 여러 개의 조직 단위에게 분산되어 있는 조직 형태를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Demography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인구학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인구 성장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밀도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분포 및 인구통계를 포함한 인구 전반에 대한 특징에 대한 연구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Deportation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강제퇴거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적법한 출국 명령을 거부하는 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범죄를 저지른 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유입국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(host State)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으로부터 당해 이주자를 출국시키는 것이 공공 이익에 도움이 되는 경우에 적용되는 절차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Derogation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유예조치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권리유예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특정 법의 폐기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(abrogation)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완전한 폐지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(abolition)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 아닌 부분적 철회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(withdrawal)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특정하게 정의된 상황에서 권리를 제한하거나 정지시킬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Development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개발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발전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인간의 발전 가능성을 증대시키고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인간 선택의 범위를 확장시키며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시민들이 존엄과 평등을 향유하며 살 수 있는 안전한 환경을 조성하는 것을 목적으로 하는 성장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진보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강화 및 발달을 시사하는 동적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(dynamic)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과정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발전은 국가의 영토적 경계를 초월하는 과정으로 간주된다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발전과정속에서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사람들의 생산성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창의성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선택이 확장되고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현 세대뿐만 아니라 미래세대를 위한 기회가 창출된다는 점이 중요하다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Diaspora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디아스포라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자신이 태어난 곳이 아닌 다른 나라에 영구적으로 정착한 이주자 공동체로서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자신들의 모국에 대한 자각을 갖고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모국과의 관계를 지속적로 유지한다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 집단은 자신들의 본고장으로부터 분산된 사람들인 동시에 그러한 사람들로 인해 타국에 구성된 공동체를 의미하는 말이다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디아스포라는 그리스어로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해외로 분산된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분산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을 뜻한다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.)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Digital imaging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디지털 화상 처리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컴퓨터로 사진을 여권의 인적사항 페이지위에 직접 인쇄하거나 삽입함으로써 얼굴 이미지를 기계판독여권에 삽입하는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Dissemination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확산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배포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 분석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(intelligence analysis)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결과물을 이 과정을 착수시킨 필요와 요구를 지닌 사용자들에게 전달하는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Doc 9303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문서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9303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국제민간항공기구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(ICAO)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 발간한 문서로서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기계판독형여행증명서에 대한 상세한 설명을 제공한다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세 부분으로 나뉘어져 발간되는데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장은 기계판독형 여권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2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장은 기계판독형 사증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3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장은 기계판독형 공식여행증명서이다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Durable solutions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항구적  해결책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난민이 처한 상황을 만족스럽고 영구적으로 해결함으로서 그들이 정상적인 삶을 살 수 있도록 하는 모든 수단을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항구적 해결책으로는 자발적 본국귀환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현지 동화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재정착이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E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EC (European Community)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유럽공동체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Enter into force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효력의 발생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발효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법이 구속력을 갖게 되는 것을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법률문서는 보통 정해진 수의 국가가 비준하거나 혹은 비준 후 일정 정도의 시간이 흐르면 효력이 발생하게 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Entrepreneurial irregular migration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자영 비정규 이주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스스로 대표성을 갖고 행동하는 개인 이주자들이 적절한 허가 없이 한 나라에 입국하거나 잔류하는 이주의 한 형태이다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이주자들은 법적 제재를 받게 되거나 혹은 받지 않을 수도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Established migrant workers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정착 이주 노동자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취업국가에서 일정기간 고용된 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체류자격과 주요 제약없이 노동할 수 있는 자격을 취득한 이주노동자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정착이주노동자는 고용과 주거의 일정 조건을 충족시킬 경우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실직상태라 하더라도 취업국에 체류할 수 있으며 직계가족을 초청하여 함께 거주할 권리를 부여받는다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Evaluation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평가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특정 정보의 타당성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신뢰성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유효성을 사정하는 것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16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Evidencing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허가인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사증이 발급되었다는 것을 보여주는 물리적 증거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이것은 여권 혹은 여행증명서에 단순한 도장을 찍거나 표시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(notation)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를 하는 형식이다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입증은 되도록이면 사증발급인정서나 시스템과 연결된 특정 식별자를 포함하도록 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보안요소들을 통해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그리고 여권이나 여행증명서에 물리적 증거를  첨부하는 방법을 통해 여행증명서를 위조나 개조의 위험으로부터 보호하도록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Ex lege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법률용어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법률에 의해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Exclusion clauses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배</w:t>
      </w:r>
      <w:r>
        <w:rPr>
          <w:rFonts w:ascii="돋움" w:eastAsia="돋움"/>
          <w:b w:val="1"/>
          <w:bCs w:val="1"/>
          <w:color w:val="ff0000"/>
          <w:spacing w:val="0"/>
          <w:w w:val="100"/>
          <w:position w:val="0"/>
          <w:sz w:val="20"/>
          <w:lang/>
        </w:rPr>
        <w:t xml:space="preserve">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조항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원칙적으로는 난민지위 요건을 충족시키는 사람이지만 이 사람에 대한 국제적 보호 혜택을 부인하는 법 조항들을 가리킨다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이러한 조항들은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난민지위에 관한 협약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1D, 1E, 1F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조에 규정되어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Expatriation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국적이탈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본국에서의 거주를 포기하는 것 또는 본국에 대한 충성을 포기하는 것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국가의 조치에 의해 국적을 상실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Exploitation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착취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관련 정보와 합리적인 동의가 부재한 상태에서 어떤 사람이 다른 사람의 목적에 부합한 행동을 하도록 강제력이나 잘못된 정보를 사용하는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착취에는 성매매 혹은 기타 형태의 성적 착취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강제 노동 혹은 강제 봉사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노역 혹은 그와 유사한 형태의 행위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신체 기관의 제거 등을 포함한다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Expressis verbis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법률용어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명백히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외현적으로 명시된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F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Feedback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피드백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 생산자와 사용자 간의 상호작용으로서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 산물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(intelligence product)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유효성을 평가하고 정보간의 격차를 입증하며 정보 이용자의 욕구에 초점을 유지하기 위한 목적으로 이루어진다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Fertility/Fertility rate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출산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력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/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출산율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본 매뉴얼에서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출산력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(fertility)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과 출산율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(fertility rate)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은 동일한 의미로 쓰이는데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일년에 한 지역에서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가임여성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1000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명당 생존아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(live births)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출산수로 계산된 비율이다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즉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3%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출산율이라 함은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년간 인구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1000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명당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30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명이 태어났다는 것을 의미한다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Flows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유량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전체 인구수 중에서 불안정하고 변화하는 비율을 일컬을 때 사용되는 용어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Forced return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강제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귀환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개인의 자발적 의사에 의해 행해지지 않는 귀환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Fraudulent document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위변조문서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허위문서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여행증명서 혹은 신분증명서가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-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국가에 의해 합법적인 권한을 부여받은 개인 혹은 중개소가 아니라 다른 누군가에 의해 허위로 만들어지거나 변조되었을 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-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허위진술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와전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협박 혹은 부적법한 기타의 방법을 통해 부적절하게 발행 혹은 취득되었을 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-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적법한 소지자 이외의 다른 사람에 의해 사용되었을 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위변조문서라고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Functional direction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기능적 관리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조직적 책임의 한 형태로써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분권화된 조직 단위는 본부의 전문가들이 지시하는 이행명령에 따라야 할 의무를 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Functional guidance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기능적 안내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조직적 책임의 한 형태로써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분산된 조직 단위가 본부의 기능 전문가로부터 조언과 지침을 제공받는 것을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그러나 조직 단위들은 운영 지침을 자신들의 고유 상황에 적합하도록 자유로이 수정할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G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Gender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젠더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성별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성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사회적으로 구성된 성별 간의 차이 및 남녀간 사회적 관계를 지칭하는 용어이다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성별 간 이러한 차이는 사회적 관계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(relations)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역사를 걸쳐 형성되었으며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시대와 문화에 따라 변화한다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Gender identity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성정체성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경제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문화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역사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종교적 요소들을 포함한 여성과 남성이 살아가는 제환경의 결과물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Gender relations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성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별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관계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사회의 경제적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사회적 상황에 따라 다양하고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사회 및 인종 집단에 따라 다른 남녀간의 관계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General Agreement on Trade in Services(GATS)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서비스 교역에 관한 일반협정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우루과이라운드 무역 협상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(1986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~1994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에서 발전된 다자적 서비스 교역 제도로 세계무역기구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(WTO)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148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 모든 회원국들에 적용된다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Globalization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세계화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넓은 의미에서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세계화는 초국가적 양상을 보이는 사회적 변화의 모든 형태를 망라한다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세계화는 경제적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비경제적 측면 모두에서 지리적 국경을 초월하는 과정이다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일반적으로 세계화는 경제적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문화적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정치적 협력 및 연계의 증가로 형성된 상호관계성 및 상호의존성의 발달 과정이라는 특징을 지닌다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세계화는 통합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상호의존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다자주의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개방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보편성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지리적 압축이라는 개념들을 포괄한다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Gross National Product(GNP)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국민총생산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국민경제가 일정기간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보통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생산한 최종 생산물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재화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·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을 시장가격으로 평가한 총액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국민총생산은 최종 생산물의 생산과정에 소요된 감가상각비 및 자본소비를 공제하고 산출한 값이다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국민총생산은 국민순생산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(net national product)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과 구별되는데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국민총생산에서 이 기간에 감가한 자본설비의 상각비를 공제한 것이 국민순생산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(net national product)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Guest worker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초청노동자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이주노동자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초빙노동자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 내에서 일정 기간 동안 일을 할 수 있도록 허가받은 외국인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H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Harmonization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조화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여행증명서의 정보 기입에 대한 단일화된 접근법을 만들어내는 과정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Health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건강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보건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질병 혹은 유약함이 없는 상태뿐만 아니라 신체적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정신적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사회적 안녕의 상태도 포함한다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이주의 측면에서 건강이란 이주자 및 이동하는 사람들의 신체적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정신적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사회적 안녕을 의미한다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Highly skilled migrant workers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고급기술인력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고숙련 이주노동자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외국에 입국할 때 우선적 대우를 받을 만한 기술을 지닌 이주 노동자로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체류기간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작업장의 이전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가족 재결합에 있어서도 제약을 덜 받는다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Host country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체류국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도입국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유입국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타국적인을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그의 지위에 관계없이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단기간이나 장기간 체류하도록 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(hosting)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있는 나라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Host state 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도입국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유입국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이주노동자가 유급활동에 종사할 예정이거나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이에 종사하고 있거나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종사해 온 국가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I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IATA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국제항공운송협회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1919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항공 산업을 위한 교역 협회로서 설립되었다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IATA/CAWG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국제항공운송협회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통제기관작업반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국제항공운송협회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통제실무반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(IATA/CAWG)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19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개국 항공사와 이민관리국이 힘을 합쳐 불법수송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(illegitimate traffic)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대한 효과적인 대응책을 확립하는 한편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승객의 편의와 수속을 위한 협력 프로그램을 개발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추진한다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ICAO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국제민간항공기구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국제민간항공기구는 비자를 포함한 여타 여행증명서 및 여권의 기준을 설정한다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1947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180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 회원국에 의해 만들어진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UN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조직으로서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시카고 협약이라고 불리는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민간항공에 대한 국제 협약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을 제정하였다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IEC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국제전기표준회의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IMO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국제해사기구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국제해사기구는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1958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설립된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UN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전문기구로서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해양 안전 상태를 개선하고 선박에 의한 해양 오염을 방지할 책임을 지닌다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ISO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국제표준화기구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Illegal entry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불법입국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합법적으로 입국하기 위한 요구조건을 충족시키지 않은 상태에서 유입국으로의 국경을 넘는 것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Immigrating investors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투자 이주자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일정 액수 이상을 목적국에 투자한다거나 혹은 일정 인원 이상의 목적국 국민을 고용하여 사업을 시작한다는 조건에서 장기거주 권리가 부여된 외국인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Inalienable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양도할 수 없는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불가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양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의    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타인에게 이전하거나 양도할 수 없는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Indentured labour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강요노동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여행비용 및 숙식 제공을 대가로 외국에서 정해진 기간동안 억압적 고용 계약하에서 하는 노동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계약 노동자들을 위한 조건들은 일반적으로 매우 열악했다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보통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4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년에서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7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년에 이르는 계약기간 동안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고용주들은 마치 노예를 파는 것처럼 노동자들의 남은 계약 기간을 팔 수 있으나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노동자들은 고용주를 바꿀 수 없게 되어있었다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Information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특정 경로를 통해 취득되거나 특정 형태로 소통된 지식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소식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사실 정보와 같은 아이디어 및 사실을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맥락에 있어서 정보란 이주동향과 통계자료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이민법제 및 절차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이주의 실제적 측면 등을 가리킨다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Information agency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정보제공기관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대중에게 정보 제공하는 것을 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목적으로 하는 기관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Information campaign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홍보활동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정보 캠페인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교육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홍보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그와 관계된 목적들을 달성하기 위해 어떤 결과와 목적을 지원하는 모든 확대접근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(outreach)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노력의 총체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Inquiry process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심사 절차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이주법률 하에서 개인이 가지는 법적 지위에 관계된 주장을 심리하고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지위에 대한 결정을 내리기 위해 성립된 절차이다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개인의 법적지위는 제시된 증거 및 당해 법률의 해석의 고려를 통해 결정된다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>
          <w:tab w:val="left" w:pos="4701"/>
        </w:tabs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Instrument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문서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기구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제도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 문서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Integration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통합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본 매뉴얼에서 말하는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통합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은 두 가지 차원에서 사용된다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일반적으로 통합이란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기존의 제도에 새로운 요소를 도입하는 과정을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예를 들어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도입국 사회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(host society)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이주자들이 유입되는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통합은 또한 인종적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민족적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문화적 배경이 다른 사람들을 한 사회내의 제한없이 평등한 공동체로 진입시키는 과정을 말하기도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몇 가지 모델들이 이주자들과 새로운 이주국 간의 상호 적응 과정을 설명하는데 사용되며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이러한 과정은 종종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용광로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(melting pot)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라고 묘사된다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Intelligence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정보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광범위한 정보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(information)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를 가지고 훈련된 분석을 통해 만들어낸 산물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Intelligence cycle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정보순환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인포메이션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(information)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입수되어 정보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(intelligence)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로 변환되고 이용자가 그것을 이용할 수 있게 되는 전 과정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Intelligence needs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정보 욕구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 관련 법률 및 절차 준수를 확립할 책임이 있는 정책결정자들과 공무원들이 필요로 하는 정보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(intelligence)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대한 요청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Intelligence sharing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정보 공유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여타의 정부 기관들과 정보 산물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(intelligence product)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을 광범위하게 교환하는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정보공유를 통해 관련 기관들은 서로의 이주 관련 정보력을 인식할 수 있으며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상대방의 인포메이션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(information)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및 분석 결과를 통해 이주 정보 산물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(migration intelligence product)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을 보다 풍부하게 할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Inter alia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 용어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중에서도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무엇보다도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Interceptions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차단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UN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난민고등판무관실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(UNHCR)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의해 정의된 차단이란 필요한 서류 없이 육로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항로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해로로 국경을 넘어 예상 목적국으로 가고자 하는 사람들을 방지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차단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저지하기 위해 한 국가가 자국 영토 외부에 대해 적용하는 모든 조치들을 의미한다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Internally displaced persons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국내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고향이나 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일상 거주지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(habitual residence)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를 떠나거나 벗어나 국제적으로 인정된 국경을 넘지 않는 사람들 혹은 집단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특히 무력분쟁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폭력이 보편화된 상황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인권침해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천재나 인재 등의 결과로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그러한 사건이 미치는 영향을 피하기 위해 그러한 이동을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International law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국제법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국가들이 어떻게 함께 작동하고 상호간의 관계를 어떻게 규정하는가에 대해 국가 간에 합의된 원칙 체계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유의어로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국제공법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(public international law)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International migrant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국제이주자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ff0000"/>
          <w:spacing w:val="0"/>
          <w:w w:val="100"/>
          <w:position w:val="0"/>
          <w:sz w:val="20"/>
          <w:lang/>
        </w:rPr>
        <w:t xml:space="preserve">이민자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자신의 출신국이 아닌 곳에 사는 사람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International migration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국제이주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ff0000"/>
          <w:spacing w:val="0"/>
          <w:w w:val="100"/>
          <w:position w:val="0"/>
          <w:sz w:val="20"/>
          <w:lang/>
        </w:rPr>
        <w:t xml:space="preserve">이민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장기간 체류를 목적으로 출신국에서 이주대상국으로 이동하는 것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(development)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맥락에서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(migrant)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라는 용어가 쓰일 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이것은 개인이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개인적 선택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(personal choice)"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이유로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어떤 외부적 압력 요인없이 자유롭게 이주결정을 내린 경우만을 의미한다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본 매뉴얼에서 국제이주와 개발을 논의할 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용어는 난민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추방자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망명자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강제에 의해 출신국을 벗어난 사람들을 포함시키지 않는다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Ipso jure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법률용어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법률 그 자체에 의거하여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Irregular migration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비정규 이주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(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이주노동맥락에서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비합법이주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자국 영토로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자국 영토를 통해서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자국 영토로부터 이루어지는 이주민들의 질서 있는 이동을 관리하기 위해 국가들이 정해 놓은 규범과 절차 밖에서 이루어지는 이주를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출신국이나 이주대상국의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두 나라 모두의 정규제도 밖에서 발생하는 모든 국가간 이동을 포함한다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인신매매를 포함한 비정규 이주로 인해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유입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(host country)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숨어 사는 이주자들이 발생하게 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공중보건 및 이주자 개인 보건에 대한 위험성이 증가하고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J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Jus sanguinis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혈통주의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속인주의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부모 중 한쪽으로부터 물려받게 되는 시민권 취득 방법으로서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만약 부모가 서로 다른 시민권을 가지고 있으면 이중 시민권을 지니게 될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Jus soli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출생지주의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속지주의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출생지에 따른 시민권 취득 방법으로서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때로는 추가적 조건을 필요로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예를 들어 최소한 부모 중 한 쪽이 당해 국가의 영주권이 있거나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부모 한쪽이 유입국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(host state)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영토 내에서 출생한 경우여야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L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Law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사회나 여러 국가가 작동할 때 따라야 할 규범적 원칙 체계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Legal migrant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합법 이주자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여권이나 비자와 같은 여행증명서 혹은 타국에 입국 및 체류할 수 있음을 증명하는 여타 허가증을 소유한 이주자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Legislation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법제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본 장에서 의미하는 법제란 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령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시행령 혹은 규제 기제를 지칭한다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 관리를 담당하는 입법 기관은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당해 국가에서 사용되는 사법 체계의 기초적 구조를 이주 법제에도 그대로 반영한다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어떤 체계는 높은 수준의 제정법으로 구성되어 있으며 이 제정법은 입법의 집행 및 절차를 규정한 이행규칙을 필요로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 다른 체계는 제정법이 고도로 규범적이면서 절차적인 세부사항을 포함하기도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이렇게 서로 다른 두 체계 간에서 면밀한 균형을 이루는 작업은 각 국가에 의해서 자체적으로 이루어진다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Livelihood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생계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ab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삶을 지속적으로 유지해나가는데 필요한 수단을 지칭한다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이러한 수단은 지역 공동체 및 초국가적 공동체를 통해 사람들이 이용할 수 있는 자원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가계 자산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사회 제도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그리고 네트워크 포함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과 계획들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(strategies)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 수도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이주는 평화시뿐만 아니라 전시 혹은 전후에도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생계전략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(livelihood strategies)"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으로서 기능한다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ff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Local integration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현지 </w:t>
      </w:r>
      <w:r>
        <w:rPr>
          <w:rFonts w:ascii="돋움" w:eastAsia="돋움"/>
          <w:b w:val="1"/>
          <w:bCs w:val="1"/>
          <w:color w:val="ff0000"/>
          <w:spacing w:val="0"/>
          <w:w w:val="100"/>
          <w:position w:val="0"/>
          <w:sz w:val="20"/>
          <w:lang/>
        </w:rPr>
        <w:t xml:space="preserve">통합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 혹은 비호신청인들이 그들에 대한 국제적 보호를 용인한 국가 내에서 영구적으로 정착할 수 있도록 하는 항구적 해결책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M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Machine-readable Passport (MRP)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기계판독형 여권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Machine-readable Travel Document (MRTD)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기계판독형 여행증명서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footnoteReference w:id="1"/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국가나 기관에서 발행되어 해외여행에 사용할 수 있는 공식적 문서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눈으로 판독할 수 있는 정보와 기계로 판독할 수 있는 형태의 별도의 필수적인 정보를 지니고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Machine-readable Visa (MRV)  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기계판독형 비자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Machine-readable Zone (MRZ)  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기계판독형 여행 증명서나 비자를 읽어낼 수 있는 지역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Machinery of government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정부 조직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HCI Poppy" w:eastAsia="휴먼명조"/>
          <w:color w:val="000000"/>
          <w:spacing w:val="0"/>
          <w:w w:val="100"/>
          <w:position w:val="0"/>
          <w:sz w:val="24"/>
          <w:lang/>
        </w:rPr>
      </w:pPr>
      <w:r>
        <w:rPr>
          <w:rFonts w:ascii="HCI Poppy" w:eastAsia="휴먼명조"/>
          <w:color w:val="000000"/>
          <w:spacing w:val="0"/>
          <w:w w:val="100"/>
          <w:position w:val="0"/>
          <w:sz w:val="24"/>
          <w:lang/>
        </w:rPr>
        <w:t xml:space="preserve">공공정책의 개발 및 실행을 위해 만들어진 조직적</w:t>
      </w:r>
      <w:r>
        <w:rPr>
          <w:rFonts w:ascii="HCI Poppy" w:eastAsia="휴먼명조"/>
          <w:color w:val="000000"/>
          <w:spacing w:val="0"/>
          <w:w w:val="100"/>
          <w:position w:val="0"/>
          <w:sz w:val="24"/>
          <w:lang/>
        </w:rPr>
        <w:t xml:space="preserve">, </w:t>
      </w:r>
      <w:r>
        <w:rPr>
          <w:rFonts w:ascii="HCI Poppy" w:eastAsia="휴먼명조"/>
          <w:color w:val="000000"/>
          <w:spacing w:val="0"/>
          <w:w w:val="100"/>
          <w:position w:val="0"/>
          <w:sz w:val="24"/>
          <w:lang/>
        </w:rPr>
        <w:t xml:space="preserve">행정적 책임 시스템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Mandate refugees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위임난민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유엔난민판무관실 규정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(UNHCR Statute)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과 관련 유엔총회 결의문에 의거하여 유엔난민판무관실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(UNHCR)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의해 난민으로 인정받은 사람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Mass communication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매스 커뮤니케이션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인쇄 매체와 전자 매체와 같은 전통적 대중 매체 또는 직접적 전달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커뮤니케이션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회의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토론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그리고 활발한 상호작용과 같은 비공식적 매체를 통해 대중에게 정보를 전달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Mass information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대중 정보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주로 대중 매체를 이용하여 대중에게 전달되는 정보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대중에게 사용되기 위해 준비된 정보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Mass media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대중 매체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특정화된 회보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(newsletter)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나 기타 매체와 달리 신문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잡지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라디오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텔레비전과 같이 광범위한 대중에게 접근할 수 있는 전달 형태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Message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메시지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전달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커뮤니케이션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행위나 그 과정의 내용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전달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커뮤니케이션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진술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중요한 사실의 기본적인 주제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 캠페인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홍보사업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경우에 있어서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메시지는 캠페인의 전반적인 내용을 포함하는 주제를 나타내며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표적화된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(targeted)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청자를 위해 가장 중요한 정보를 응축한다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Migrant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이주자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이주민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개인적 편리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(personal convenience)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이유로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외부로부터 강제적 요소의 개입 없이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개인이 이주결정을 자유로이 내리는 모든 경우에 해당하는 자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Migrant worker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이주노동자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국적국이 아닌 나라에서 유급활동에 종사할 예정이거나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이에 종사하고 있거나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종사해 온 사람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2003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7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 발효된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모든 이주노동자와 그 가족의 권리보호에 관한 국제협약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(International Convention on the Protection of the Rights of All Migrant Workers and Members of Their Families, 1990)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」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2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이주노동자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대한 정의를 제공한다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Migration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  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사람 혹은 집단이 단기적 혹은 영구적 정착을 위해 행정적 혹은 정치적 국경을 넘어 한 지리적 단위에서 다른 지리적 단위로의 이동을 의미하는 용어로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여기에는 난민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자발적 이주자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비자발적 이주자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경제적 이주자의 이동을 포함한다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Migration health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 보건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보건학의 특정화된 분야로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출신국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경유국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이주대상국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귀환국내의 이주자들과 지역사회의 안녕에 초점을 두고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이주보건은 이주자 개인의 욕구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(needs)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뿐만 아니라 도입국의 공중보건이라는 이중적 초점을 지니고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Migration management institutional framework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 관리의 제도적 체제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 관리에 관한 법을 만드는 것은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국가가 일반적 정책 목표에 집중할 수 있도록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 행위를 규율할 제도적 체계를 만드는 것과 연관된다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행정기관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입법기관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사법기관과 같은 국가 기관은 물론이고 정책을 실행할 공무원 및 장관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그리고 운송사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숙박업자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교육기관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고용주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국제기구와 같은 간접적인 이해관계자들까지도 적절한 권위와 권한을 부여 받을 필요가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이러한 종합적 형태가 이주 관리에 관한 제도적 체계를 형성한다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Mobility pattern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이동 유형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 유형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반복되는 이주 유형은 이동 유형으로 인식된다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가난한 국가에서 부유한 국가로의 이동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시골에서 도시로의 이동은 이동 유형의 예이다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Mode 4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모드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4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세계무역기구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(WTO)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회원국들 간의 서비스 교역을 다루는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서비스 교역에 관한 일반협정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(General Agreement on Trade in Service, GATS)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」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은 네 가지 서비스 공급방법을 규정한다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모드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은 서비스의 국경간 공급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서비스 자체가 국경을 넘어 공급됨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모드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2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는 서비스의 해외소비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회원국의 영토내에서 타 회원국의 서비스 수요자에 대한 서비스 공급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국가 국민이 다른 국가에 가서 서비스를 소비하는 것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모드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3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은 상업적 주재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국가의 서비스 공급 주체가 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WTO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회원국 영토에 주재하면서 서비스를 공급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모드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4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는 자연인의 이동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서비스 공급자 개인이 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WTO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회원국으로 일시적으로 이주하여 서비스 공급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을 내용으로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GATS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I.2(d)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조는 모드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4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를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회원국 출신의 자연인이 타 회원국의 영토내에 주재함으로써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자연인이 속한 서비스 공급주체가 그 자연인을 통해 서비스를 공급함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으로 정의한다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Multiculturalism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다문화주의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사회 내에서 한 개의 주류 문화 대신 많은 문화를 장려하고 촉진시키는 것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N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National law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국내법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국가가 국가와 개인 간의 관계를 어떻게 규정할 것인가를 정한 원칙 체계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National security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국가 안보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개별 국가의 자국 영토 보호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Nationality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국적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민족 국가 안에서 구성원인 상태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국적법은 이러한 법적 지위에 대한 기준을 정한다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국적은 종종 하나의 혹은 그 이상의 정치적 국가들을 형성하는 민족 집단의 맥락에서 사용되기도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Non-refoulement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강제송환금지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난민법의 핵심원칙으로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난민의 생명과 자유가 위협받을 수 있는 국가나 지역으로 난민들을 돌려보내는 것을 금지한다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원칙은 국제관습법의 한 부분으로 여겨지고 있기 때문에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1951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유엔 난민지위에 관한 협약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에의 가입여부와 관계없이 모든 국가를 구속한다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O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OCR-B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광 문자 인식 폰트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 판독 가능 지역에서 기계 판독형 여행 증명서의 사용을 위해 채택된 광 문자 인식 인쇄 형식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Operational intelligence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운영 정보  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 관리 관련하여 일상적인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진행 중인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운영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활동을 수행하는 공무원의 욕구와 관련한 지적 산물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때때로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전략적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정보로 언급되기도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 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Operational policy objectives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운영상 정책 목표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 관리는 다음과 같은 선택안 사이에 운영상 균형을 맞춘다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-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통제조치 및 촉진조치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-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해외에서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입국지점에서 또는 국가 내에서의 이주관리 활동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-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위험 관리 또는 위험 방지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-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경제적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사회적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문화적 통합을 향한 이주자 및 옹호자의 책임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그리고 국가의 책임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 관리의 운영 정책 목표들은 국가가 선택한 사항 간의 균형을 나타낸다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Organizational culture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조직문화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어느 특정한 조직 구조를 형성하는 가치 및 역사적 행동양식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Organizational structure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조직구조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의무와 책임의 틀 내에서 기능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활동 및 업무 진행이 상호 연관되는 시스템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P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Paradigm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패러다임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복잡한 현상을 이해하기 위해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지적 규율에 의해 사용되는 개념적 모델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패러다임은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어떻게 어떤 것이 이해될 수 있는 지를 결정하는 가정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실행을 포함한다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새로운 패러다임은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관찰한 것들이 기존의 가정과 믿음으로 설명되지 못할 때 만들어 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인간개발지수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(HDI)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를 만든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故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Mahbub Ul Haq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선생은 인간개발 패러다임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(human development paradigm)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4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가지 필수 구성요소를 규명하였다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4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가지는 형평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(equity),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지속가능성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(sustainability),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생산성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(productivity),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자치역량 강화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(empowerment)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Passport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여권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여권안에 기록된 사람의 신원을 증명하고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사람이 여행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재입국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해외 체류시 보호를 받을 수 있도록 허가하는 국가에 의해 발행된 공식적 문서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Pendular movement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주기적 이동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식량 획득 또는 교역을 위해 일정한 근거지로부터 외부로 이동하였다 복귀하거나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일정지역을 순회하는 이동형태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Perception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인식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사람에 의해 경험되거나 해석되는 방식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인식은 정보와 지식과는 구별된다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인식은 사실이거나 거짓일 수도 있고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정당화될 수도 정당화되지 않을 수도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인식은 사회화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교육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 접근성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개인과 단체의 욕구와 같은 많은 요소들의 결과이다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Persecution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박해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모든 종류의 심각한 인권 침해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난민의 맥락에서 박해는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인종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종교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정치적 의견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특정 사회 집단의 구성원 등의 이유로 기본권이 심각하게 침해받는 모든 행동을 뜻한다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Points system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점수제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평가기준에 따라 주어지는 점수에 근거하여 잠재적 이주자를 평가하는 시스템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통과하려면 미리 정해진 기준 점수를 얻어야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신청자의 교육수준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특정 훈련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경력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나이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언어 능력과 같은 특성에 따라 점수가 부과된다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Policy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정책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의사결정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실천 등의 사항을 대해 결정하거나 영향을 주기 위한 계획 및 활동 과정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합당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신중 또는 유익하다고 여겨지는 활동 과정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지침 또는 절차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Prima facie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일견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한 번 본 바로는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”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다른 요소들을 제외하고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”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Primary inspection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기본입국심사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입국하는 모든 사람들을 대상으로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출국 심사가 있는 경우 체류하고 있는 사람들에 대해 실시하는 여행 문서와 동기에 대한 표준적 심사</w:t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Processing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가공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이주와 관련된 방대한 정보를 평가하거나 분석할 수 있는 형태로 전환하는 것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Project-tied workers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특정사업 노동자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고용주에 의하여 정해진 기간 동안 그 나라에서 수행되는 특정사업에만 근무하도록 취업국에 입국이 허가된 이주노동자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고용주는 그 사업을 완수하기 위해 필요한 자원을 제공할 의무가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고용주 혹은  노동중개업자는 사업 완료 후 노동자의 출국을 책임진다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Psychosocial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사회심리적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인간 행동과 안녕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(wellness)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을 이해하고 관리하기 위한 접근으로 개인이 가지는 심리적 요인과 사회적 요인에 동등한 중요성을 두고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Public health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공중보건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사람들과 지역사회를 질병으로부터 보호하고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모두를 위한 건강한 생활환경을 증진시키는 정책과 프로그램을 수립하는 과정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Public international law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국제공법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국가들에 의해 동의된 원칙 체제로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국제기구 및 다른 국제 공법 대상들 사이의 국제 관계를 규정하고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Pull factors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흡인요인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이주자가 다른 국가에서 거주지를 찾는 것에 대해 압력을 가하거나 동기를 부여하는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국가 내에 존재하는 요인들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Push factors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배출요인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이주자가 출신국을 떠나 다른 곳에서 거주지를 찾는 것에 대해 압력을 가하거나 동기를 부여하는 그 출신국에 존재하는 요인들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R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RFI (Request for Information)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정보 요청서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TAG/MRTD(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 민간 항공 기구의 기계판독형문서 기술조언팀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기계판독형 여행증명서에 유용하다고 판단되는 최신 기술을 산업계에 요청하는 절차</w:t>
      </w:r>
    </w:p>
    <w:p>
      <w:pPr>
        <w:pStyle w:val="0"/>
        <w:rPr>
          <w:rFonts w:ascii="돋움" w:eastAsia="돋움"/>
          <w:b w:val="1"/>
          <w:bCs w:val="1"/>
          <w:i w:val="1"/>
          <w:i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i w:val="1"/>
          <w:i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Ratification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비준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조약에 구속력을 부여하는 최종 합의의 도출과정으로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보통 비준서의 기탁을 포함하고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b w:val="1"/>
          <w:bCs w:val="1"/>
          <w:i w:val="1"/>
          <w:i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i w:val="1"/>
          <w:i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Re-emigration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재이출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再移出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),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재이주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출발국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(country of departure)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으로 돌아간 후에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다시 또 다른 거주를 위해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목적지로 떠나는 이동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Readmission agreement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재입국 협정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footnoteReference w:id="2"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보통 양자협정의 형태를 띠고 있으며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국가가 비정규 이민자를 출신국이나 경유국으로 되돌려 보낼 수 있는 절차를 수립한다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Refoulement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강제송환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1951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난민지위에 관한 협정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규정된 사유에 의해 박해를 받을 위험이 있는 지역 또는 박해를 받을 지역으로 또는 개인의 생명 혹은 자유가 위협받을 수 있는 국가로 난민을 강제적으로 귀환하는 행위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Refugee law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난민법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불문율적인 국제 관습법과 난민보호기준을 설정하는 다양한 국제적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지역적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국가적 법률문서의 총체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Refugee status determination procedures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난민 지위 인정 절차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footnoteReference w:id="3"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국내법과 국제법에 따라 난민 인정 여부를 결정하는데 있어서 국가 그리고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UN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난민고등판무관실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(UNHCR)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 의해 사용되는 법적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행정적 절차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Regional Consultative Process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지역 협의 과정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같은 지리적 영역의 국가들이 서로 경험을 나누거나 토론에 참여할 기회를 공유하며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공통된 이슈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정책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프로그램 등에 관하여 협력 가능한 지점을 고려하면서 정보를 나눌 기회를 갖는 협력 메커니즘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지역 협의 과정은 참가국들이 공통 관심사를 가지고 만나며 비공식적이고 구속력이 없어 선호되고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Register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등록제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기록이 입력되고 저장되는 시스템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 시스템은 한 나라에 입국하거나 출국하는 사람들에 기반하거나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인구통계 및 체류에 대한 정보를 기록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보존하는 그 국가 체류자의 기록에 기반한다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Reliability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신뢰성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 출처의 일관성에 대한 척도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Remittances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송금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 이주자가 이주국에서 얻은 수입의 일부를 출신국으로 보내는 것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공식적 경로를 통해 유통된 총 송금액은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1988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년과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1999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사이에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2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배 이상 증가했다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공식적 은행 경로를 통해 전해져서 국가통계에 기록되는 공식적 송금과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친구나 친척을 통하거나 이주자 자신들이 운송하거나 민간 금전전달 시스템을 이용하는 비공식 송금을 구별할 필요가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Repatriation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본국송환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엄격한 법률적 의미를 가지고 있는 용어로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국제법에서 인정되고 있으며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본국으로 돌아가는 협약 난민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1949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년과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1951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제네바 협약에 근거하여 전쟁 포로들 및 전쟁 기간동안의 민간인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1961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년과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1963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년 비엔나 협약에 따라서 위기시의 외교관에게도 적용된다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Reservation to a treaty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조약의 유보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조약에 서명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(sign),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(ratify),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수락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(accept),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승인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(approve),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가입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(accede)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할 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국가가 조약의 특정 조항을 자국에 적용하는 데 있어 그 법적 효과를 배제 혹은 수정하기 위한 목적으로 발표하는 일방적인 성명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Resettlement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재정착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footnoteReference w:id="4"/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난민들의 이송으로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피난처를 찾고 있었던 국가에서 난민을 인정하는 다른 국가로 이송하는 것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대개 보호시설이나 다른 형태의 장기 거주권리를 가지게 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많은 경우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귀화 시민이 될 기회를 갖게 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재정착은 난민보호를 위한 수단이자 항구적 해결책의 하나이다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Residence permit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체류 허가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허가 발행 국가 내에서 영구적으로 혹은 미리 지정된 기간동안 체류할 수 있는 허가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Return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귀환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귀환은 넓게 경유국 또는 도착국에서 그 이전의 경유국이나 출신국으로 돌아가는 행위를 뜻한다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footnoteReference w:id="5"/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Rights-based approach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권리에 기반한 접근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이주정책에 대한 접근방법으로 이주자의 삶을 통제하는 것보다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이주자들의 권리를 중요 출발점으로 두는 것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S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Seasonal migrant workers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계절이주노동자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그의 작업이 성질상 계절조건에 의존하며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일년 중 일정 기간동안만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필요한 작업에 취업하는 이주노동자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Secondary inspection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상세입국심사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입국하는 사람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혹은 출국절차 중에 있는 사람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중 선별된 사람에게 행하여지는 구체적 심사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Segregation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분리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격리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다양한 인종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계급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민족집단을 분리하는 정책 또는 행위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분리모델에서 이주자들은 적응을 위한 최소한의 노력을 하도록 요구되는 반면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도입국의 단일가치체계는 초기 상태 또는 영향 받지 않은 상태 그대로 유지된다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이주자들의 사회참여뿐만 아니라 권리도 극히 제한된다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Sending countries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송출국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이주자가 출국하는 국가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Services/service suppliers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서비스공급자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서비스는 선진국과 개발도상국 모두에 있어 가장 범위가 넓고 가장 역동적인 경제 요소이다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서비스 그 자체만으로도 경제상으로 중요한 의미를 지니지만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서비스는 또한 재화생산에 중요한 투입요소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(inputs)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로서의 역할도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서비스의 범위는 건축에서부터 음성사서함 통신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(voice-mail communication)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및 우주 이송까지 망라한다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여기에는 전문 직업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컴퓨터관련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연구 및 개발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부동산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통신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환경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건설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교육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금융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보건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관광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여가 서비스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운송 서비스 등이 포함된다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Sex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성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남성과 여성의 생물학적 차이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Sex workers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성 노동자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금전적 보수를 목적으로 성적 서비스 교환에 참여하고 있는 사람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Smuggling of migrants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이주자 밀입국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밀입국 알선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이주자의 동의로 밀수 브로커에게 비용을 지불함으로써 이루어지는 이주이동의 한 형태이다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이것은 착취적이고 위험하며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때로는 치명적인 결과를 초래하기도 하지만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인신매매와 비교해 볼 때 강압적인 행위는 아니다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팔레모 협정이 적용되는 밀입국은 조직적 범죄단을 주도 세력으로 한 것을 전제로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Sponsorship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후원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그룹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조직이 일정 기간동안 다른 개인에 대해 책임을 지니도록 하는 협정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여기서 책임이라 함은 보통 재정적인 측면에서의 책임을 의미한다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Spontaneous return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자원적 귀환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자발적 귀환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자의적 귀환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개인이 스스로 귀환하기로 결정하고 귀환을 실행하는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State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국가 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상시적으로 인구가 존재하며 내외적으로 주권을 행사하는 효력이 있는 정부가 있는 정해진 영토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Stateless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무국적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어느 국가에서도 정상적 시민권을 가지지 않고 어느 국가로부터도 보호를 받지 않는 사람의 지위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Statelessness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무국적자  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어느 국가에서도 구성원으로서의 법적 지위가 없음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Stocks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저량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전체 인구수 중에서 안정적인 일정한 비율을 지칭하기 위해 이주통계 부문에서 사용되는 용어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Strategic intelligence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전략적 정보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 관리에 대한 정부의 전반적인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전략적인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목표를 달성하는 것과 관련한 정보 산물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Strategic policy objectives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전략적 정책 목표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 관리는 공중 보건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안보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경제적 번영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시민권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사회적 안정 및 단결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문화 발전 등 여러 분야와 관련하여 다양한 공공 정책 목표 간의 균형과 연관되어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이주 관리에 관한 전략적 정책 목표는 국가가 선택한 목표 간의 균형점을 나타낸다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Suspensive effect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유예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법원에 상소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[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상소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: 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항소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상고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/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항고를 총칭</w:t>
      </w:r>
      <w:r>
        <w:rPr>
          <w:rFonts w:ascii="돋움" w:eastAsia="돋움"/>
          <w:color w:val="ff0000"/>
          <w:spacing w:val="0"/>
          <w:w w:val="100"/>
          <w:position w:val="0"/>
          <w:sz w:val="20"/>
          <w:lang/>
        </w:rPr>
        <w:t xml:space="preserve">]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나 신청서 제출한 상태에서 해당 사건에 대한 최종 결정 과정이 끝나기 전까지는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부정적인 결정에 미치는 효과를 방지하고 신청자의 법적 지위를 유지해주는 것이다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System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시스템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복잡한 총체를 구성하는 상호작용적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상호관계적 및 독립적인 요소들의 집합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시스템은 자연적 또는 인위적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기계적 또는 유기적일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T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TAG/MRTD (Technical Advisory Group on Machine Readable Travel Documents)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국제 민간 항공 기구의 기계판독형 문서 기술 조언팀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Temporary labour migrant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단기 노동 이주자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국적국이 아닌 나라에서 유급활동에 종사할 예정이거나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이에 종사하고 있거나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또는 종사하여 온 사람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유급활동 종사의 기간은 한정되어 있으며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수개월에서 수년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영구적이지 않다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Temporary migrant workers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단기 이주 노동자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자국이 아닌 타국에서 한시적으로 특정 직업 혹은 특정 업종에 종사하도록 입국이 허락된 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단기 이주 노동자는 작업장을 변경하거나 출국하지 않고도 취업국에서 노동허가를 갱신할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Temporary protection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임시 보호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분쟁 상황이나 일반적 폭력 사태를 피해 온 집단에게 보호를 제공할 수 있도록 국가들이 개발한 방안이나 조치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임시보호는 개별 난민 지위에 대한 심사없이 임시적 성격의 보호를 제공한다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Terminology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전문용어</w:t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특정 분야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주제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과학이나 예술에 사용되는 전문 용어 어휘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Third country national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제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3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 국민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(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국가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)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3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 국민의 개념은 가장 일반적으로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양자간 재입국허가협정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에서 나타나는데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협정당사국 국민이 아닌 귀환인을 지칭한다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귀환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’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맥락에서 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3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 국민이란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귀화될 사람이 수용국의 국민도 아니면서 수용국이 존재하는 지역 내 그 어떤 국가의 국민도 아닌 경우이다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예를들어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EU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 경우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독일에서 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3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 국민이란 오직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EU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외부에서 온 타국적자들만을 포함하며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타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EU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회원국 국민들은 포함하지 않는다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Trade liberalization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무역 자유화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쿼터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관세를 비롯하여 재화와 자본의 자유로운 국제 이동을 저해하는 기타 장벽의 철폐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Trafficking in persons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인신매매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위협이나 강제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다른 형태의 강압을 사용하여 사람을 모집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수송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전달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은닉하는 것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인신매매는 상업적 성 산업과 인권침해와 자주 연계되어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이에 납치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권력남용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상대방의 열등한 지위를 악용하는 것이 포함된다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해당인에 대한 지배력이 있는 사람의 동의를 얻어 착취를 목적으로 대가나 이익을 주고받는 것 또한 인신매매의 한 형태이다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Transnational networks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초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국적 네트워크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대개 이주자의 출신국을 포함한 여러 국가들 사이에 형성된 문화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사회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경제적 연결들로 구성된 이주자의 네트워크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Trauma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트라우마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신체적 혹은 심리적 위해를 유발하고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건강을 해치며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치료가 요구되는 정신 혹은 신체의 상처를 말한다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트라우마는 스트레스 및 정신건강 문제와 긴밀히 연결되어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반복적 혹은 심각한 트라우마는 외상후 스트레스 증후군이라 진단된다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Treaty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조약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국가들 사이에 체결한 문서로 된 국제적 합의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(international agreement)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이며 국제법에 따라 규율된다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규약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협약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의정서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협정으로도 불린다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Typology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유형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공통된 특징을 가진 현상들을 그룹별로 묶는 체계적 분류 방법이다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유형은 다양하게 연관된 현상들을 분리된 집단으로 구별하는 차이점들에 따라 만들어진다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유형은 복잡한 이주 현실을 분석하고 이해하기 쉽게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288" w:lineRule="auto"/>
        <w:ind w:leftChars="0" w:rightChars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4"/>
          <w:lang/>
        </w:rPr>
        <w:t xml:space="preserve">V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Visual Inspection Zone (VIZ): 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기계판독형 여행 증명서의 시각적 검사 지역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Validation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확인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검증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탑승 지점 혹은 국경 심사대에서 여행자의 신원과 여행자의 여행증명서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비자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허가증에 기록된 정보와 여행자의 신원과 지위에 관한 정보의 일치 여부를 조사하는 과정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Validity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타당성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정보 정확성에 대한 척도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shd w:val="clear" w:fill="ffff00"/>
          <w:lang/>
        </w:rPr>
        <w:t xml:space="preserve">Verification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shd w:val="clear" w:fill="ffff00"/>
          <w:lang/>
        </w:rPr>
        <w:t xml:space="preserve">본인확인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여행문서를 소지하고 있는 사람이 합법적인 소지자라는 것을 확인하는 행위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Visa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사증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비자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자국이 아닌 국가에 입국시 필요한 승인 조건을 충족하고 있음을 보여주도록 발행된 여행자의 단기적 혹은 영구적 공식 보증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Voluntary repatriation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자발적 본국귀환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난민의 자유의사 및 정보에 입각한 결정에 따라 난민이 본국으로 귀환하는 것을 의미한다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자발적 귀환은 체계적으로 조직되거나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(organized),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지원없이 자력으로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(spontaneous)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이루어질 수 있다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p>
      <w:pPr>
        <w:pStyle w:val="0"/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Voluntary return   </w:t>
      </w:r>
      <w:r>
        <w:rPr>
          <w:rFonts w:ascii="돋움" w:eastAsia="돋움"/>
          <w:b w:val="1"/>
          <w:bCs w:val="1"/>
          <w:color w:val="000000"/>
          <w:spacing w:val="0"/>
          <w:w w:val="100"/>
          <w:position w:val="0"/>
          <w:sz w:val="20"/>
          <w:lang/>
        </w:rPr>
        <w:t xml:space="preserve">자발적 귀환</w:t>
      </w:r>
    </w:p>
    <w:p>
      <w:pPr>
        <w:pStyle w:val="0"/>
        <w:tabs/>
        <w:wordWrap w:val="0"/>
        <w:snapToGrid w:val="1"/>
        <w:spacing w:before="0" w:after="0" w:line="324" w:lineRule="auto"/>
        <w:ind w:left="0" w:right="0" w:firstLine="0"/>
        <w:jc w:val="both"/>
        <w:textAlignment w:val="baseline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개인의 자발적 결정에 따른 귀환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자발적 귀환 개념은 강제적 요소의 부재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이상의 것을 필요로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자발적 결정은 어떠한 신체적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정신적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물리적 강압도 없는 것으로 정의되며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그러나 이에 더하여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그 결정은 적합하고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이용가능하고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, 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정확하고 객관적인 정보에 근거해야 한다</w:t>
      </w: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  <w:t xml:space="preserve">. </w:t>
      </w:r>
    </w:p>
    <w:p>
      <w:pPr>
        <w:pStyle w:val="0"/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pPr>
      <w:r>
        <w:rPr>
          <w:rFonts w:ascii="돋움" w:eastAsia="돋움"/>
          <w:color w:val="000000"/>
          <w:spacing w:val="0"/>
          <w:w w:val="100"/>
          <w:position w:val="0"/>
          <w:sz w:val="20"/>
          <w:lang/>
        </w:rPr>
      </w:r>
    </w:p>
    <w:sectPr>
      <w:footerReference w:type="default" r:id="rId11"/>
      <w:pgSz w:w="11905" w:h="16837" w:orient="portrait"/>
      <w:pgMar w:top="1984" w:right="1700" w:bottom="1700" w:left="1700" w:header="850" w:footer="850" w:gutter="0"/>
      <w:cols/>
    </w:sectPr>
  </w:body>
</w:document>
</file>

<file path=word/endnotes.xml><?xml version="1.0" encoding="utf-8"?>
<w:endnot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/>
</file>

<file path=word/fontTable.xml><?xml version="1.0" encoding="utf-8"?>
<w:fonts xmlns:w14="http://schemas.microsoft.com/office/word/2010/wordml" xmlns:mc="http://schemas.openxmlformats.org/markup-compatibility/2006" xmlns:r="http://schemas.openxmlformats.org/officeDocument/2006/relationships" xmlns:w="http://schemas.openxmlformats.org/wordprocessingml/2006/main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00.xml><?xml version="1.0" encoding="utf-8"?>
<w:ftr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p>
    <w:pPr>
      <w:jc w:val="center"/>
    </w:pPr>
    <w:r>
      <w:fldChar w:fldCharType="begin"/>
    </w:r>
    <w:r>
      <w:rPr/>
      <w:instrText xml:space="preserve">PAGE \* MERGEFORMAT</w:instrText>
    </w:r>
    <w:r>
      <w:fldChar w:fldCharType="separate"/>
    </w:r>
    <w:r>
      <w:t xml:space="preserve">- 1 -</w:t>
    </w:r>
    <w:r>
      <w:fldChar w:fldCharType="end"/>
    </w:r>
  </w:p>
</w:ftr>
</file>

<file path=word/footnotes.xml><?xml version="1.0" encoding="utf-8"?>
<w:footnot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footnote w:id="1">
    <w:p>
      <w:pPr>
        <w:pStyle w:val="11"/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</w:pPr>
      <w:r>
        <w:rPr/>
        <w:footnoteRef/>
      </w:r>
      <w:r>
        <w:rPr>
          <w:rFonts w:ascii="바탕" w:eastAsia="바탕"/>
          <w:color w:val="000000"/>
          <w:spacing w:val="-9"/>
          <w:w w:val="95"/>
          <w:position w:val="0"/>
          <w:sz w:val="18"/>
          <w:lang/>
        </w:rPr>
        <w:t xml:space="preserve"> 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기술표준원에서는 여행문서라는 단어 사용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, 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외통부는 여행증명서라는 단어사용</w:t>
      </w:r>
    </w:p>
  </w:footnote>
  <w:footnote w:id="2">
    <w:p>
      <w:pPr>
        <w:pStyle w:val="11"/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</w:pPr>
      <w:r>
        <w:rPr/>
        <w:footnoteRef/>
      </w:r>
      <w:r>
        <w:rPr>
          <w:rFonts w:ascii="바탕" w:eastAsia="바탕"/>
          <w:color w:val="000000"/>
          <w:spacing w:val="-9"/>
          <w:w w:val="95"/>
          <w:position w:val="0"/>
          <w:sz w:val="18"/>
          <w:lang/>
        </w:rPr>
        <w:t xml:space="preserve"> 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주구주연합대표부의 최근동향 섹션에서 발췌</w:t>
      </w:r>
    </w:p>
  </w:footnote>
  <w:footnote w:id="3">
    <w:p>
      <w:pPr>
        <w:pStyle w:val="11"/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</w:pPr>
      <w:r>
        <w:rPr/>
        <w:footnoteRef/>
      </w:r>
      <w:r>
        <w:rPr>
          <w:rFonts w:ascii="바탕" w:eastAsia="바탕"/>
          <w:color w:val="000000"/>
          <w:spacing w:val="-9"/>
          <w:w w:val="95"/>
          <w:position w:val="0"/>
          <w:sz w:val="18"/>
          <w:lang/>
        </w:rPr>
        <w:t xml:space="preserve"> 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UNHCR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에서 발췌</w:t>
      </w:r>
    </w:p>
  </w:footnote>
  <w:footnote w:id="4">
    <w:p>
      <w:pPr>
        <w:pStyle w:val="11"/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</w:pPr>
      <w:r>
        <w:rPr/>
        <w:footnoteRef/>
      </w:r>
      <w:r>
        <w:rPr>
          <w:rFonts w:ascii="바탕" w:eastAsia="바탕"/>
          <w:color w:val="000000"/>
          <w:spacing w:val="-9"/>
          <w:w w:val="95"/>
          <w:position w:val="0"/>
          <w:sz w:val="18"/>
          <w:lang/>
        </w:rPr>
        <w:t xml:space="preserve"> 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외교통상부에서 발췌</w:t>
      </w:r>
    </w:p>
  </w:footnote>
  <w:footnote w:id="5">
    <w:p>
      <w:pPr>
        <w:pStyle w:val="11"/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</w:pPr>
      <w:r>
        <w:rPr/>
        <w:footnoteRef/>
      </w:r>
      <w:r>
        <w:rPr>
          <w:rFonts w:ascii="바탕" w:eastAsia="바탕"/>
          <w:color w:val="000000"/>
          <w:spacing w:val="-9"/>
          <w:w w:val="95"/>
          <w:position w:val="0"/>
          <w:sz w:val="18"/>
          <w:lang/>
        </w:rPr>
        <w:t xml:space="preserve"> 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출신국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, </w:t>
      </w:r>
      <w:r>
        <w:rPr>
          <w:rFonts w:ascii="바탕" w:eastAsia="바탕"/>
          <w:color w:val="0000ff"/>
          <w:spacing w:val="-9"/>
          <w:w w:val="95"/>
          <w:position w:val="0"/>
          <w:sz w:val="18"/>
          <w:lang/>
        </w:rPr>
        <w:t xml:space="preserve">통과국으로 유네스코사이트에 올려진 이주노동자 보호를 위한 국제협약에 번역되어있음</w:t>
      </w:r>
    </w:p>
  </w:footnote>
</w:footnotes>
</file>

<file path=word/numbering.xml><?xml version="1.0" encoding="utf-8"?>
<w:numbering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abstractNum w:abstractNumId="1">
    <w:multiLevelType w:val="hybridMultilevel"/>
    <w:lvl w:ilvl="0">
      <w:start w:val="1"/>
      <w:numFmt w:val="decimal"/>
      <w:suff w:val="nothing"/>
      <w:lvlText w:val="%1."/>
      <w:lvlJc w:val="left"/>
      <w:pPr>
        <w:ind w:left="0" w:hanging="50"/>
      </w:pPr>
    </w:lvl>
    <w:lvl w:ilvl="1">
      <w:start w:val="1"/>
      <w:numFmt w:val="ganada"/>
      <w:suff w:val="nothing"/>
      <w:lvlText w:val="%2."/>
      <w:lvlJc w:val="left"/>
      <w:pPr>
        <w:ind w:left="0" w:hanging="50"/>
      </w:pPr>
    </w:lvl>
    <w:lvl w:ilvl="2">
      <w:start w:val="1"/>
      <w:numFmt w:val="decimal"/>
      <w:suff w:val="nothing"/>
      <w:lvlText w:val="(%3)"/>
      <w:lvlJc w:val="left"/>
      <w:pPr>
        <w:ind w:left="0" w:hanging="50"/>
      </w:pPr>
    </w:lvl>
    <w:lvl w:ilvl="3">
      <w:start w:val="1"/>
      <w:numFmt w:val="ganada"/>
      <w:suff w:val="nothing"/>
      <w:lvlText w:val="(%4)"/>
      <w:lvlJc w:val="left"/>
      <w:pPr>
        <w:ind w:left="0" w:hanging="50"/>
      </w:pPr>
    </w:lvl>
    <w:lvl w:ilvl="4">
      <w:start w:val="1"/>
      <w:numFmt w:val="decimal"/>
      <w:suff w:val="nothing"/>
      <w:lvlText w:val="%5)"/>
      <w:lvlJc w:val="left"/>
      <w:pPr>
        <w:ind w:left="0" w:hanging="50"/>
      </w:pPr>
    </w:lvl>
    <w:lvl w:ilvl="5">
      <w:start w:val="1"/>
      <w:numFmt w:val="ganada"/>
      <w:suff w:val="nothing"/>
      <w:lvlText w:val="%6)"/>
      <w:lvlJc w:val="left"/>
      <w:pPr>
        <w:ind w:left="0" w:hanging="50"/>
      </w:pPr>
    </w:lvl>
    <w:lvl w:ilvl="6">
      <w:start w:val="1"/>
      <w:numFmt w:val="decimalEnclosedCircle"/>
      <w:suff w:val="nothing"/>
      <w:lvlText w:val="%7"/>
      <w:lvlJc w:val="left"/>
      <w:pPr>
        <w:ind w:left="0" w:hanging="50"/>
      </w:pPr>
    </w:lvl>
  </w:abstractNum>
  <w:abstractNum w:abstractNumId="2">
    <w:multiLevelType w:val="multilevel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</w:abstractNum>
  <w:abstractNum w:abstractNumId="3">
    <w:multiLevelType w:val="singleLevel"/>
    <w:lvl w:ilvl="0">
      <w:start w:val="1"/>
      <w:numFmt w:val="bullet"/>
      <w:suff w:val="nothing"/>
      <w:lvlText w:val="●"/>
      <w:lvlJc w:val="left"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displayBackgroundShape w:val="1"/>
</w:settings>
</file>

<file path=word/styles.xml><?xml version="1.0" encoding="utf-8"?>
<w:styles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mc:Ignorable="w14 wp14">
  <w:docDefaults>
    <w:rPrDefault>
      <w:rPr>
        <w:rFonts w:ascii="바탕" w:eastAsia="바탕"/>
        <w:color w:val="000000"/>
        <w:spacing w:val="0"/>
        <w:w w:val="100"/>
        <w:position w:val="0"/>
        <w:sz w:val="20"/>
        <w:lang/>
      </w:rPr>
    </w:rPrDefault>
    <w:pPrDefault>
      <w:pPr>
        <w:tabs/>
        <w:wordWrap w:val="0"/>
        <w:snapToGrid w:val="1"/>
        <w:spacing w:before="0" w:after="0" w:line="288" w:lineRule="auto"/>
        <w:ind w:left="0" w:right="0" w:firstLine="0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0">
    <w:name w:val="바탕글"/>
    <w:next w:val="0"/>
    <w:p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바탕" w:eastAsia="바탕"/>
      <w:color w:val="000000"/>
      <w:spacing w:val="0"/>
      <w:w w:val="100"/>
      <w:position w:val="0"/>
      <w:sz w:val="20"/>
      <w:lang/>
    </w:rPr>
  </w:style>
  <w:style w:type="paragraph" w:styleId="1">
    <w:name w:val="본문"/>
    <w:next w:val="1"/>
    <w:pPr>
      <w:tabs/>
      <w:wordWrap w:val="0"/>
      <w:snapToGrid w:val="1"/>
      <w:spacing w:before="0" w:after="0" w:line="288" w:lineRule="auto"/>
      <w:ind w:left="300" w:right="0" w:firstLine="0"/>
      <w:jc w:val="both"/>
      <w:textAlignment w:val="baseline"/>
    </w:pPr>
    <w:rPr>
      <w:rFonts w:ascii="바탕" w:eastAsia="바탕"/>
      <w:color w:val="000000"/>
      <w:spacing w:val="0"/>
      <w:w w:val="100"/>
      <w:position w:val="0"/>
      <w:sz w:val="20"/>
      <w:lang/>
    </w:rPr>
  </w:style>
  <w:style w:type="paragraph" w:styleId="2">
    <w:name w:val="개요 1"/>
    <w:next w:val="2"/>
    <w:pPr>
      <w:numPr>
        <w:ilvl w:val="0"/>
        <w:numId w:val="1"/>
      </w:num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바탕" w:eastAsia="바탕"/>
      <w:color w:val="000000"/>
      <w:spacing w:val="0"/>
      <w:w w:val="100"/>
      <w:position w:val="0"/>
      <w:sz w:val="20"/>
      <w:lang/>
    </w:rPr>
  </w:style>
  <w:style w:type="paragraph" w:styleId="3">
    <w:name w:val="개요 2"/>
    <w:next w:val="3"/>
    <w:pPr>
      <w:numPr>
        <w:ilvl w:val="1"/>
        <w:numId w:val="1"/>
      </w:num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바탕" w:eastAsia="바탕"/>
      <w:color w:val="000000"/>
      <w:spacing w:val="0"/>
      <w:w w:val="100"/>
      <w:position w:val="0"/>
      <w:sz w:val="20"/>
      <w:lang/>
    </w:rPr>
  </w:style>
  <w:style w:type="paragraph" w:styleId="4">
    <w:name w:val="개요 3"/>
    <w:next w:val="4"/>
    <w:pPr>
      <w:numPr>
        <w:ilvl w:val="2"/>
        <w:numId w:val="1"/>
      </w:num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바탕" w:eastAsia="바탕"/>
      <w:color w:val="000000"/>
      <w:spacing w:val="0"/>
      <w:w w:val="100"/>
      <w:position w:val="0"/>
      <w:sz w:val="20"/>
      <w:lang/>
    </w:rPr>
  </w:style>
  <w:style w:type="paragraph" w:styleId="5">
    <w:name w:val="개요 4"/>
    <w:next w:val="5"/>
    <w:pPr>
      <w:numPr>
        <w:ilvl w:val="3"/>
        <w:numId w:val="1"/>
      </w:num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바탕" w:eastAsia="바탕"/>
      <w:color w:val="000000"/>
      <w:spacing w:val="0"/>
      <w:w w:val="100"/>
      <w:position w:val="0"/>
      <w:sz w:val="20"/>
      <w:lang/>
    </w:rPr>
  </w:style>
  <w:style w:type="paragraph" w:styleId="6">
    <w:name w:val="개요 5"/>
    <w:next w:val="6"/>
    <w:pPr>
      <w:numPr>
        <w:ilvl w:val="4"/>
        <w:numId w:val="1"/>
      </w:num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바탕" w:eastAsia="바탕"/>
      <w:color w:val="000000"/>
      <w:spacing w:val="0"/>
      <w:w w:val="100"/>
      <w:position w:val="0"/>
      <w:sz w:val="20"/>
      <w:lang/>
    </w:rPr>
  </w:style>
  <w:style w:type="paragraph" w:styleId="7">
    <w:name w:val="개요 6"/>
    <w:next w:val="7"/>
    <w:pPr>
      <w:numPr>
        <w:ilvl w:val="5"/>
        <w:numId w:val="1"/>
      </w:num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바탕" w:eastAsia="바탕"/>
      <w:color w:val="000000"/>
      <w:spacing w:val="0"/>
      <w:w w:val="100"/>
      <w:position w:val="0"/>
      <w:sz w:val="20"/>
      <w:lang/>
    </w:rPr>
  </w:style>
  <w:style w:type="paragraph" w:styleId="8">
    <w:name w:val="개요 7"/>
    <w:next w:val="8"/>
    <w:pPr>
      <w:numPr>
        <w:ilvl w:val="6"/>
        <w:numId w:val="1"/>
      </w:num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바탕" w:eastAsia="바탕"/>
      <w:color w:val="000000"/>
      <w:spacing w:val="0"/>
      <w:w w:val="100"/>
      <w:position w:val="0"/>
      <w:sz w:val="20"/>
      <w:lang/>
    </w:rPr>
  </w:style>
  <w:style w:type="paragraph" w:styleId="9">
    <w:name w:val="쪽 번호"/>
    <w:next w:val="9"/>
    <w:pPr>
      <w:tabs/>
      <w:wordWrap w:val="0"/>
      <w:snapToGrid w:val="1"/>
      <w:spacing w:before="0" w:after="0" w:line="288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0"/>
      <w:w w:val="100"/>
      <w:position w:val="0"/>
      <w:sz w:val="20"/>
      <w:lang/>
    </w:rPr>
  </w:style>
  <w:style w:type="paragraph" w:styleId="10">
    <w:name w:val="머리말"/>
    <w:next w:val="10"/>
    <w:pPr>
      <w:tabs/>
      <w:wordWrap w:val="1"/>
      <w:snapToGrid w:val="1"/>
      <w:spacing w:before="0" w:after="0" w:line="270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3"/>
      <w:w w:val="98"/>
      <w:position w:val="0"/>
      <w:sz w:val="18"/>
      <w:lang/>
    </w:rPr>
  </w:style>
  <w:style w:type="paragraph" w:styleId="11">
    <w:name w:val="각주"/>
    <w:next w:val="11"/>
    <w:pPr>
      <w:tabs/>
      <w:wordWrap w:val="0"/>
      <w:snapToGrid w:val="1"/>
      <w:spacing w:before="0" w:after="0" w:line="234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9"/>
      <w:w w:val="95"/>
      <w:position w:val="0"/>
      <w:sz w:val="18"/>
      <w:lang/>
    </w:rPr>
  </w:style>
</w:styles>
</file>

<file path=word/webSettings.xml><?xml version="1.0" encoding="utf-8"?>
<w:webSettings xmlns:w14="http://schemas.microsoft.com/office/word/2010/wordml" xmlns:r="http://schemas.openxmlformats.org/officeDocument/2006/relationships" xmlns:w="http://schemas.openxmlformats.org/wordprocessingml/2006/main" xmlns:mc="http://schemas.openxmlformats.org/markup-compatibility/2006" mc:Ignorable="w14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numbering" Target="numbering.xml"></Relationship><Relationship Id="rId8" Type="http://schemas.openxmlformats.org/officeDocument/2006/relationships/customXml" Target="../customXml/item1.xml"></Relationship><Relationship Id="rId9" Type="http://schemas.openxmlformats.org/officeDocument/2006/relationships/customXml" Target="../customXml/item2.xml"></Relationship><Relationship Id="rId10" Type="http://schemas.openxmlformats.org/officeDocument/2006/relationships/theme" Target="theme/theme1.xml"></Relationship><Relationship Id="rId11" Type="http://schemas.openxmlformats.org/officeDocument/2006/relationships/footer" Target="footer100.xml"></Relationship></Relationships>
</file>

<file path=word/_rels/endnotes.xml.rels><?xml version="1.0" encoding="UTF-8" standalone="yes"?><Relationships xmlns="http://schemas.openxmlformats.org/package/2006/relationships"></Relationships>
</file>

<file path=word/_rels/footer100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numbering.xml.rels><?xml version="1.0" encoding="UTF-8" standalone="yes"?><Relationships xmlns="http://schemas.openxmlformats.org/package/2006/relationships"></Relationships>
</file>

<file path=word/theme/theme1.xml><?xml version="1.0" encoding="utf-8"?>
<a:theme xmlns:m="http://schemas.openxmlformats.org/officeDocument/2006/math" xmlns:wpg="http://schemas.microsoft.com/office/word/2010/wordprocessingGroup" xmlns:pvml="urn:schemas-microsoft-com:office:powerpoint" xmlns:mc="http://schemas.openxmlformats.org/markup-compatibility/2006" xmlns:wne="http://schemas.microsoft.com/office/word/2006/wordml" xmlns:wps="http://schemas.microsoft.com/office/word/2010/wordprocessingShape" xmlns:w14="http://schemas.microsoft.com/office/word/2010/wordml" xmlns:a="http://schemas.openxmlformats.org/drawingml/2006/main" xmlns:wvml="urn:schemas-microsoft-com:office:word" xmlns:wp14="http://schemas.microsoft.com/office/word/2010/wordprocessingDrawing" xmlns:xvml="urn:schemas-microsoft-com:office:excel" xmlns:sl="http://schemas.openxmlformats.org/schemaLibrary/2006/main" xmlns:pic="http://schemas.openxmlformats.org/drawingml/2006/picture" xmlns:v="urn:schemas-microsoft-com:vml" xmlns:r="http://schemas.openxmlformats.org/officeDocument/2006/relationships" xmlns:o="urn:schemas-microsoft-com:office:office" xmlns:wp="http://schemas.openxmlformats.org/drawingml/2006/wordprocessingDrawing" xmlns:w="http://schemas.openxmlformats.org/wordprocess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></Relationship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xmlns:s="http://schemas.openxmlformats.org/officeDocument/2006/sharedTypes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xmlns:s="http://schemas.openxmlformats.org/officeDocument/2006/sharedTypes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 xmlns:xsi="http://www.w3.org/2001/XMLSchema-instance">
  <dcterms:created xsi:type="dcterms:W3CDTF">2006-03-02T09:11:10Z</dcterms:created>
</cp:coreProperties>
</file>