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29" w:rsidRPr="00CD2129" w:rsidRDefault="00CD2129" w:rsidP="00CD2129">
      <w:pPr>
        <w:widowControl/>
        <w:wordWrap/>
        <w:autoSpaceDE/>
        <w:autoSpaceDN/>
        <w:spacing w:after="0" w:line="240" w:lineRule="auto"/>
        <w:jc w:val="left"/>
        <w:outlineLvl w:val="1"/>
        <w:rPr>
          <w:rFonts w:ascii="돋움" w:eastAsia="돋움" w:hAnsi="돋움" w:cs="굴림"/>
          <w:b/>
          <w:bCs/>
          <w:color w:val="666666"/>
          <w:kern w:val="0"/>
          <w:sz w:val="29"/>
          <w:szCs w:val="29"/>
        </w:rPr>
      </w:pPr>
      <w:r w:rsidRPr="00CD2129">
        <w:rPr>
          <w:rFonts w:ascii="돋움" w:eastAsia="돋움" w:hAnsi="돋움" w:cs="굴림" w:hint="eastAsia"/>
          <w:b/>
          <w:bCs/>
          <w:color w:val="666666"/>
          <w:kern w:val="0"/>
          <w:sz w:val="36"/>
          <w:szCs w:val="36"/>
        </w:rPr>
        <w:t>2016년 추계공동학술대회 후기</w:t>
      </w:r>
    </w:p>
    <w:p w:rsidR="00CD2129" w:rsidRPr="00CD2129" w:rsidRDefault="00CD2129" w:rsidP="00CD2129">
      <w:pPr>
        <w:widowControl/>
        <w:wordWrap/>
        <w:autoSpaceDE/>
        <w:autoSpaceDN/>
        <w:spacing w:after="0" w:line="240" w:lineRule="auto"/>
        <w:jc w:val="left"/>
        <w:outlineLvl w:val="1"/>
        <w:rPr>
          <w:rFonts w:ascii="돋움" w:eastAsia="돋움" w:hAnsi="돋움" w:cs="굴림" w:hint="eastAsia"/>
          <w:b/>
          <w:bCs/>
          <w:color w:val="666666"/>
          <w:kern w:val="0"/>
          <w:sz w:val="29"/>
          <w:szCs w:val="29"/>
        </w:rPr>
      </w:pPr>
      <w:r w:rsidRPr="00CD2129">
        <w:rPr>
          <w:rFonts w:ascii="돋움" w:eastAsia="돋움" w:hAnsi="돋움" w:cs="굴림" w:hint="eastAsia"/>
          <w:b/>
          <w:bCs/>
          <w:color w:val="666666"/>
          <w:kern w:val="0"/>
          <w:sz w:val="29"/>
          <w:szCs w:val="29"/>
        </w:rPr>
        <w:t>- '불법체류와 법치행정'</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지난 10월 28일 금요일 한양대학교에서는 “불법체류와 법치행정”이란 주제로 열린 2016년 추계공동학술대회가 있었습니다. 한국이민법학회의 주최로 열린 이번 학술대회는 학계와 실무 등 다양한 분야의 전문가들이 참가하여, 불법체류와 미등록 이주민에 대한 인권침해 및 법적 접근에 대한 주제발표와 열띤 토론을 펼쳤습니다. 인하대 BK21+다문화교육 </w:t>
      </w:r>
      <w:proofErr w:type="spellStart"/>
      <w:r w:rsidRPr="00CD2129">
        <w:rPr>
          <w:rFonts w:ascii="돋움" w:eastAsia="돋움" w:hAnsi="돋움" w:cs="굴림" w:hint="eastAsia"/>
          <w:color w:val="1D2129"/>
          <w:kern w:val="0"/>
          <w:sz w:val="22"/>
        </w:rPr>
        <w:t>사업팀의</w:t>
      </w:r>
      <w:proofErr w:type="spellEnd"/>
      <w:r w:rsidRPr="00CD2129">
        <w:rPr>
          <w:rFonts w:ascii="돋움" w:eastAsia="돋움" w:hAnsi="돋움" w:cs="굴림" w:hint="eastAsia"/>
          <w:color w:val="1D2129"/>
          <w:kern w:val="0"/>
          <w:sz w:val="22"/>
        </w:rPr>
        <w:t xml:space="preserve"> 정상우 교수, 이미정 연구교수와 박지인 연구원은 ‘미등록 이주민 인권침해 실태 및 대응방안’란 주제로 발표하였고, 법무법인 공존의 </w:t>
      </w:r>
      <w:proofErr w:type="spellStart"/>
      <w:r w:rsidRPr="00CD2129">
        <w:rPr>
          <w:rFonts w:ascii="돋움" w:eastAsia="돋움" w:hAnsi="돋움" w:cs="굴림" w:hint="eastAsia"/>
          <w:color w:val="1D2129"/>
          <w:kern w:val="0"/>
          <w:sz w:val="22"/>
        </w:rPr>
        <w:t>차규근</w:t>
      </w:r>
      <w:proofErr w:type="spellEnd"/>
      <w:r w:rsidRPr="00CD2129">
        <w:rPr>
          <w:rFonts w:ascii="돋움" w:eastAsia="돋움" w:hAnsi="돋움" w:cs="굴림" w:hint="eastAsia"/>
          <w:color w:val="1D2129"/>
          <w:kern w:val="0"/>
          <w:sz w:val="22"/>
        </w:rPr>
        <w:t xml:space="preserve"> 변호사는 ‘불법체류 통제행정에의 경제적 접근’에 대하여, 그리고 어필의 이일 변호사는 ‘불법체류(통제)의 법적</w:t>
      </w:r>
      <w:bookmarkStart w:id="0" w:name="_GoBack"/>
      <w:bookmarkEnd w:id="0"/>
      <w:r w:rsidRPr="00CD2129">
        <w:rPr>
          <w:rFonts w:ascii="돋움" w:eastAsia="돋움" w:hAnsi="돋움" w:cs="굴림" w:hint="eastAsia"/>
          <w:color w:val="1D2129"/>
          <w:kern w:val="0"/>
          <w:sz w:val="22"/>
        </w:rPr>
        <w:t xml:space="preserve"> 쟁점’에 관한 발표자로 참여했습니다. 또한 </w:t>
      </w:r>
      <w:proofErr w:type="spellStart"/>
      <w:r w:rsidRPr="00CD2129">
        <w:rPr>
          <w:rFonts w:ascii="돋움" w:eastAsia="돋움" w:hAnsi="돋움" w:cs="굴림" w:hint="eastAsia"/>
          <w:color w:val="1D2129"/>
          <w:kern w:val="0"/>
          <w:sz w:val="22"/>
        </w:rPr>
        <w:t>공익인권법재단</w:t>
      </w:r>
      <w:proofErr w:type="spellEnd"/>
      <w:r w:rsidRPr="00CD2129">
        <w:rPr>
          <w:rFonts w:ascii="돋움" w:eastAsia="돋움" w:hAnsi="돋움" w:cs="굴림" w:hint="eastAsia"/>
          <w:color w:val="1D2129"/>
          <w:kern w:val="0"/>
          <w:sz w:val="22"/>
        </w:rPr>
        <w:t xml:space="preserve"> 공감의 박영아 변호사, 한국노동연구원의 이규용 박사, 그리고 이희정 고려대 교수가 각 주제의 토론자로 참여하여, 각각의 주제발표에 대한 비평과 분석적인 접근을 이어나갔습니다. </w:t>
      </w:r>
      <w:proofErr w:type="spellStart"/>
      <w:r w:rsidRPr="00CD2129">
        <w:rPr>
          <w:rFonts w:ascii="돋움" w:eastAsia="돋움" w:hAnsi="돋움" w:cs="굴림" w:hint="eastAsia"/>
          <w:color w:val="1D2129"/>
          <w:kern w:val="0"/>
          <w:sz w:val="22"/>
        </w:rPr>
        <w:t>김환학</w:t>
      </w:r>
      <w:proofErr w:type="spellEnd"/>
      <w:r w:rsidRPr="00CD2129">
        <w:rPr>
          <w:rFonts w:ascii="돋움" w:eastAsia="돋움" w:hAnsi="돋움" w:cs="굴림" w:hint="eastAsia"/>
          <w:color w:val="1D2129"/>
          <w:kern w:val="0"/>
          <w:sz w:val="22"/>
        </w:rPr>
        <w:t xml:space="preserve"> 헌법재판연구원의 사회로 진행된 이번 학술대회는 오후 약 1시 30분부터 시작되어 저녁 6시까지 이어진 긴 시간의 프로그램이었지만, 학계와 실무분야를 연결해주며, 각각의 분야에서 놓쳤던 시각과 관점들을 보완해주는 뜻 깊은 시간이었습니다.</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wordWrap/>
        <w:autoSpaceDE/>
        <w:autoSpaceDN/>
        <w:spacing w:after="0" w:line="240" w:lineRule="auto"/>
        <w:ind w:firstLine="190"/>
        <w:jc w:val="center"/>
        <w:rPr>
          <w:rFonts w:ascii="맑은 고딕" w:eastAsia="맑은 고딕" w:hAnsi="맑은 고딕" w:cs="굴림" w:hint="eastAsia"/>
          <w:color w:val="000000"/>
          <w:kern w:val="0"/>
          <w:szCs w:val="20"/>
        </w:rPr>
      </w:pPr>
      <w:r w:rsidRPr="00CD2129">
        <w:rPr>
          <w:rFonts w:ascii="맑은 고딕" w:eastAsia="맑은 고딕" w:hAnsi="맑은 고딕" w:cs="굴림"/>
          <w:noProof/>
          <w:color w:val="000000"/>
          <w:kern w:val="0"/>
          <w:szCs w:val="20"/>
        </w:rPr>
        <w:drawing>
          <wp:inline distT="0" distB="0" distL="0" distR="0">
            <wp:extent cx="4762500" cy="3569970"/>
            <wp:effectExtent l="0" t="0" r="0" b="0"/>
            <wp:docPr id="5" name="그림 5" descr="http://cfile30.uf.tistory.com/image/2124754C582535561CF5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_entry_10207_" descr="http://cfile30.uf.tistory.com/image/2124754C582535561CF5A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569970"/>
                    </a:xfrm>
                    <a:prstGeom prst="rect">
                      <a:avLst/>
                    </a:prstGeom>
                    <a:noFill/>
                    <a:ln>
                      <a:noFill/>
                    </a:ln>
                  </pic:spPr>
                </pic:pic>
              </a:graphicData>
            </a:graphic>
          </wp:inline>
        </w:drawing>
      </w:r>
    </w:p>
    <w:p w:rsidR="00CD2129" w:rsidRPr="00CD2129" w:rsidRDefault="00CD2129" w:rsidP="00CD2129">
      <w:pPr>
        <w:widowControl/>
        <w:wordWrap/>
        <w:autoSpaceDE/>
        <w:autoSpaceDN/>
        <w:spacing w:after="0" w:line="240" w:lineRule="auto"/>
        <w:ind w:firstLine="190"/>
        <w:jc w:val="center"/>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&lt;학술대회장에 모인 발표자들과 참가자들&gt;</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첫 번째 주제인 ‘미등록 이주민 인권침해 실태 및 대응방안’은 인하대 BK21+</w:t>
      </w:r>
      <w:proofErr w:type="spellStart"/>
      <w:r w:rsidRPr="00CD2129">
        <w:rPr>
          <w:rFonts w:ascii="돋움" w:eastAsia="돋움" w:hAnsi="돋움" w:cs="굴림" w:hint="eastAsia"/>
          <w:color w:val="1D2129"/>
          <w:kern w:val="0"/>
          <w:sz w:val="22"/>
        </w:rPr>
        <w:t>사업팀의</w:t>
      </w:r>
      <w:proofErr w:type="spellEnd"/>
      <w:r w:rsidRPr="00CD2129">
        <w:rPr>
          <w:rFonts w:ascii="돋움" w:eastAsia="돋움" w:hAnsi="돋움" w:cs="굴림" w:hint="eastAsia"/>
          <w:color w:val="1D2129"/>
          <w:kern w:val="0"/>
          <w:sz w:val="22"/>
        </w:rPr>
        <w:t xml:space="preserve"> 발표로 시작되었습니다. 정상우 교수는 이번 주제에 대하여 미등록 이주민의 현황과 </w:t>
      </w:r>
      <w:proofErr w:type="spellStart"/>
      <w:r w:rsidRPr="00CD2129">
        <w:rPr>
          <w:rFonts w:ascii="돋움" w:eastAsia="돋움" w:hAnsi="돋움" w:cs="굴림" w:hint="eastAsia"/>
          <w:color w:val="1D2129"/>
          <w:kern w:val="0"/>
          <w:sz w:val="22"/>
        </w:rPr>
        <w:t>법적지위</w:t>
      </w:r>
      <w:proofErr w:type="spellEnd"/>
      <w:r w:rsidRPr="00CD2129">
        <w:rPr>
          <w:rFonts w:ascii="돋움" w:eastAsia="돋움" w:hAnsi="돋움" w:cs="굴림" w:hint="eastAsia"/>
          <w:color w:val="1D2129"/>
          <w:kern w:val="0"/>
          <w:sz w:val="22"/>
        </w:rPr>
        <w:t xml:space="preserve">, 미등록 이주민의 인권침해 유형 및 현실, 그리고 이러한 인권침해에 대한 대응방안을 순서로 체계적인 분석을 이어나갔습니다. 정 교수에 따르면, 한국의 미등록 이주민과 이들의 아동은 각종 단속이나 강제퇴거 과정, 근로관계, 그리고 건강 및 보건의 영역에서 인권보호를 보장받지 못하고 있습니다. 인간의 보편적인 인권은 </w:t>
      </w:r>
      <w:r w:rsidRPr="00CD2129">
        <w:rPr>
          <w:rFonts w:ascii="돋움" w:eastAsia="돋움" w:hAnsi="돋움" w:cs="굴림" w:hint="eastAsia"/>
          <w:color w:val="1D2129"/>
          <w:kern w:val="0"/>
          <w:sz w:val="22"/>
        </w:rPr>
        <w:lastRenderedPageBreak/>
        <w:t>헌법뿐만 아니라 국제인권조약에서 보장하는 기본적인 가치이므로, 미등록 이주민의 인권에 대한 인식이 이러한 법과 조약 등의 시각을 고려해야 합니다.</w:t>
      </w: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우리나라에서는 『</w:t>
      </w:r>
      <w:proofErr w:type="spellStart"/>
      <w:r w:rsidRPr="00CD2129">
        <w:rPr>
          <w:rFonts w:ascii="돋움" w:eastAsia="돋움" w:hAnsi="돋움" w:cs="굴림" w:hint="eastAsia"/>
          <w:color w:val="1D2129"/>
          <w:kern w:val="0"/>
          <w:sz w:val="22"/>
        </w:rPr>
        <w:t>재한외국인</w:t>
      </w:r>
      <w:proofErr w:type="spellEnd"/>
      <w:r w:rsidRPr="00CD2129">
        <w:rPr>
          <w:rFonts w:ascii="돋움" w:eastAsia="돋움" w:hAnsi="돋움" w:cs="굴림" w:hint="eastAsia"/>
          <w:color w:val="1D2129"/>
          <w:kern w:val="0"/>
          <w:sz w:val="22"/>
        </w:rPr>
        <w:t xml:space="preserve"> 처우 기본법』에서 ‘불법체류외국인’이라는 용어를 사용하고 있지만, 미등록 체류에 대한 개념을 명시적으로 규정하고 있지는 않습니다. 주로 체류기간을 초과한 사람을 뜻하는 불법체류외국인과 유사하게 미등록이주민 또한 출입국관리법 위반으로 나타나며, 다음 4가지 유형으로 나누어 볼 수 있습니다.</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tbl>
      <w:tblPr>
        <w:tblW w:w="0" w:type="auto"/>
        <w:tblCellMar>
          <w:left w:w="0" w:type="dxa"/>
          <w:right w:w="0" w:type="dxa"/>
        </w:tblCellMar>
        <w:tblLook w:val="04A0" w:firstRow="1" w:lastRow="0" w:firstColumn="1" w:lastColumn="0" w:noHBand="0" w:noVBand="1"/>
      </w:tblPr>
      <w:tblGrid>
        <w:gridCol w:w="9006"/>
      </w:tblGrid>
      <w:tr w:rsidR="00CD2129" w:rsidRPr="00CD2129" w:rsidTr="00CD2129">
        <w:tc>
          <w:tcPr>
            <w:tcW w:w="9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ind w:left="435" w:hanging="36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① 정규적 입국 절차를 거치지 않고 밀입국하였거나, 입국에 필수적인 서류(여권, 사증 등) 없이 입국한 외국인 (비정규입국자)</w:t>
            </w:r>
          </w:p>
          <w:p w:rsidR="00CD2129" w:rsidRPr="00CD2129" w:rsidRDefault="00CD2129" w:rsidP="00CD2129">
            <w:pPr>
              <w:widowControl/>
              <w:wordWrap/>
              <w:autoSpaceDE/>
              <w:autoSpaceDN/>
              <w:spacing w:after="0" w:line="240" w:lineRule="auto"/>
              <w:ind w:left="435" w:hanging="36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② 입국 전 한국의 법무부장관이 허가한 체류자격과 이에 해당하는 체류활동을 위반하거나 (</w:t>
            </w:r>
            <w:proofErr w:type="spellStart"/>
            <w:r w:rsidRPr="00CD2129">
              <w:rPr>
                <w:rFonts w:ascii="돋움" w:eastAsia="돋움" w:hAnsi="돋움" w:cs="굴림" w:hint="eastAsia"/>
                <w:color w:val="1D2129"/>
                <w:kern w:val="0"/>
                <w:sz w:val="22"/>
              </w:rPr>
              <w:t>체류자격외활동자</w:t>
            </w:r>
            <w:proofErr w:type="spellEnd"/>
            <w:r w:rsidRPr="00CD2129">
              <w:rPr>
                <w:rFonts w:ascii="돋움" w:eastAsia="돋움" w:hAnsi="돋움" w:cs="굴림" w:hint="eastAsia"/>
                <w:color w:val="1D2129"/>
                <w:kern w:val="0"/>
                <w:sz w:val="22"/>
              </w:rPr>
              <w:t>), 90일을 초과하여 체류하는 경우, 외국인 등록을 하지 않은 외국인 (체류기간 초과자</w:t>
            </w:r>
            <w:r w:rsidRPr="00CD2129">
              <w:rPr>
                <w:rFonts w:ascii="돋움" w:eastAsia="돋움" w:hAnsi="돋움" w:cs="Helvetica" w:hint="eastAsia"/>
                <w:color w:val="1D2129"/>
                <w:kern w:val="0"/>
                <w:sz w:val="22"/>
              </w:rPr>
              <w:t>)</w:t>
            </w:r>
          </w:p>
          <w:p w:rsidR="00CD2129" w:rsidRPr="00CD2129" w:rsidRDefault="00CD2129" w:rsidP="00CD2129">
            <w:pPr>
              <w:widowControl/>
              <w:wordWrap/>
              <w:autoSpaceDE/>
              <w:autoSpaceDN/>
              <w:spacing w:after="0" w:line="240" w:lineRule="auto"/>
              <w:ind w:left="435" w:hanging="36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③ 취업을 목적으로 하는 경우에 취업자격이 없거나 취업허가 기간을 경과한 경우, 그리고 지정된 근무처를 이탈한 외국인</w:t>
            </w:r>
          </w:p>
          <w:p w:rsidR="00CD2129" w:rsidRPr="00CD2129" w:rsidRDefault="00CD2129" w:rsidP="00CD2129">
            <w:pPr>
              <w:widowControl/>
              <w:wordWrap/>
              <w:autoSpaceDE/>
              <w:autoSpaceDN/>
              <w:spacing w:after="0" w:line="240" w:lineRule="auto"/>
              <w:ind w:left="435" w:hanging="36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④ 입국 후 체류기간이 초과한 아동 또는 국내 출생아동이지만 출생신고를 하지 못한 이주아동 (국내출생 무국적자)</w:t>
            </w:r>
          </w:p>
        </w:tc>
      </w:tr>
    </w:tbl>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이러한 분류기준을 기본으로 한국의 미등록 이주민에 대한 통계를 분석해 보면, 다음과 같은 특징을 알 수 있습니다.</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tbl>
      <w:tblPr>
        <w:tblW w:w="0" w:type="auto"/>
        <w:tblInd w:w="75" w:type="dxa"/>
        <w:tblCellMar>
          <w:left w:w="0" w:type="dxa"/>
          <w:right w:w="0" w:type="dxa"/>
        </w:tblCellMar>
        <w:tblLook w:val="04A0" w:firstRow="1" w:lastRow="0" w:firstColumn="1" w:lastColumn="0" w:noHBand="0" w:noVBand="1"/>
      </w:tblPr>
      <w:tblGrid>
        <w:gridCol w:w="8931"/>
      </w:tblGrid>
      <w:tr w:rsidR="00CD2129" w:rsidRPr="00CD2129" w:rsidTr="00CD2129">
        <w:tc>
          <w:tcPr>
            <w:tcW w:w="9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ind w:left="351" w:hanging="284"/>
              <w:rPr>
                <w:rFonts w:ascii="맑은 고딕" w:eastAsia="맑은 고딕" w:hAnsi="맑은 고딕" w:cs="굴림" w:hint="eastAsia"/>
                <w:color w:val="000000"/>
                <w:kern w:val="0"/>
                <w:szCs w:val="20"/>
              </w:rPr>
            </w:pPr>
            <w:proofErr w:type="gramStart"/>
            <w:r w:rsidRPr="00CD2129">
              <w:rPr>
                <w:rFonts w:ascii="돋움" w:eastAsia="돋움" w:hAnsi="돋움" w:cs="굴림" w:hint="eastAsia"/>
                <w:color w:val="1D2129"/>
                <w:kern w:val="0"/>
                <w:sz w:val="22"/>
              </w:rPr>
              <w:t>①  2004년</w:t>
            </w:r>
            <w:proofErr w:type="gramEnd"/>
            <w:r w:rsidRPr="00CD2129">
              <w:rPr>
                <w:rFonts w:ascii="돋움" w:eastAsia="돋움" w:hAnsi="돋움" w:cs="굴림" w:hint="eastAsia"/>
                <w:color w:val="1D2129"/>
                <w:kern w:val="0"/>
                <w:sz w:val="22"/>
              </w:rPr>
              <w:t> 이후로 미등록 </w:t>
            </w:r>
            <w:proofErr w:type="spellStart"/>
            <w:r w:rsidRPr="00CD2129">
              <w:rPr>
                <w:rFonts w:ascii="돋움" w:eastAsia="돋움" w:hAnsi="돋움" w:cs="굴림" w:hint="eastAsia"/>
                <w:color w:val="1D2129"/>
                <w:kern w:val="0"/>
                <w:sz w:val="22"/>
              </w:rPr>
              <w:t>체류율은</w:t>
            </w:r>
            <w:proofErr w:type="spellEnd"/>
            <w:r w:rsidRPr="00CD2129">
              <w:rPr>
                <w:rFonts w:ascii="돋움" w:eastAsia="돋움" w:hAnsi="돋움" w:cs="굴림" w:hint="eastAsia"/>
                <w:color w:val="1D2129"/>
                <w:kern w:val="0"/>
                <w:sz w:val="22"/>
              </w:rPr>
              <w:t> 감소하고 있으며, 2008년 이후</w:t>
            </w:r>
            <w:r w:rsidRPr="00CD2129">
              <w:rPr>
                <w:rFonts w:ascii="돋움" w:eastAsia="돋움" w:hAnsi="돋움" w:cs="Helvetica" w:hint="eastAsia"/>
                <w:color w:val="1D2129"/>
                <w:kern w:val="0"/>
                <w:sz w:val="22"/>
              </w:rPr>
              <w:t> ‘</w:t>
            </w:r>
            <w:r w:rsidRPr="00CD2129">
              <w:rPr>
                <w:rFonts w:ascii="돋움" w:eastAsia="돋움" w:hAnsi="돋움" w:cs="굴림" w:hint="eastAsia"/>
                <w:color w:val="1D2129"/>
                <w:kern w:val="0"/>
                <w:sz w:val="22"/>
              </w:rPr>
              <w:t>불법체류외국인 감소 5개년 계획’에 따른 정부의 대대적인 단속으로 인하여, 미등록 </w:t>
            </w:r>
            <w:proofErr w:type="spellStart"/>
            <w:r w:rsidRPr="00CD2129">
              <w:rPr>
                <w:rFonts w:ascii="돋움" w:eastAsia="돋움" w:hAnsi="돋움" w:cs="굴림" w:hint="eastAsia"/>
                <w:color w:val="1D2129"/>
                <w:kern w:val="0"/>
                <w:sz w:val="22"/>
              </w:rPr>
              <w:t>체류율은</w:t>
            </w:r>
            <w:proofErr w:type="spellEnd"/>
            <w:r w:rsidRPr="00CD2129">
              <w:rPr>
                <w:rFonts w:ascii="돋움" w:eastAsia="돋움" w:hAnsi="돋움" w:cs="굴림" w:hint="eastAsia"/>
                <w:color w:val="1D2129"/>
                <w:kern w:val="0"/>
                <w:sz w:val="22"/>
              </w:rPr>
              <w:t> 20%이하로 낮아짐</w:t>
            </w:r>
            <w:r w:rsidRPr="00CD2129">
              <w:rPr>
                <w:rFonts w:ascii="돋움" w:eastAsia="돋움" w:hAnsi="돋움" w:cs="Helvetica" w:hint="eastAsia"/>
                <w:color w:val="1D2129"/>
                <w:kern w:val="0"/>
                <w:sz w:val="22"/>
              </w:rPr>
              <w:t>.</w:t>
            </w:r>
          </w:p>
          <w:p w:rsidR="00CD2129" w:rsidRPr="00CD2129" w:rsidRDefault="00CD2129" w:rsidP="00CD2129">
            <w:pPr>
              <w:widowControl/>
              <w:wordWrap/>
              <w:autoSpaceDE/>
              <w:autoSpaceDN/>
              <w:spacing w:after="0" w:line="240" w:lineRule="auto"/>
              <w:ind w:left="351" w:hanging="284"/>
              <w:rPr>
                <w:rFonts w:ascii="맑은 고딕" w:eastAsia="맑은 고딕" w:hAnsi="맑은 고딕" w:cs="굴림" w:hint="eastAsia"/>
                <w:color w:val="000000"/>
                <w:kern w:val="0"/>
                <w:szCs w:val="20"/>
              </w:rPr>
            </w:pPr>
            <w:proofErr w:type="gramStart"/>
            <w:r w:rsidRPr="00CD2129">
              <w:rPr>
                <w:rFonts w:ascii="돋움" w:eastAsia="돋움" w:hAnsi="돋움" w:cs="굴림" w:hint="eastAsia"/>
                <w:color w:val="1D2129"/>
                <w:kern w:val="0"/>
                <w:sz w:val="22"/>
              </w:rPr>
              <w:t>②  전세계적으로</w:t>
            </w:r>
            <w:proofErr w:type="gramEnd"/>
            <w:r w:rsidRPr="00CD2129">
              <w:rPr>
                <w:rFonts w:ascii="돋움" w:eastAsia="돋움" w:hAnsi="돋움" w:cs="굴림" w:hint="eastAsia"/>
                <w:color w:val="1D2129"/>
                <w:kern w:val="0"/>
                <w:sz w:val="22"/>
              </w:rPr>
              <w:t> 경제적 요인이 미등록 이주민의 주요 원인으로 작용한 것에 따라, 한국에서도 주로 개발도상국 출신의 이주민이 대다수이며, 국내 미등록 이주민의 상당수는 사증면제(B-1), 단기방문(C-3), 고용허가제에 따른 </w:t>
            </w:r>
            <w:proofErr w:type="spellStart"/>
            <w:r w:rsidRPr="00CD2129">
              <w:rPr>
                <w:rFonts w:ascii="돋움" w:eastAsia="돋움" w:hAnsi="돋움" w:cs="굴림" w:hint="eastAsia"/>
                <w:color w:val="1D2129"/>
                <w:kern w:val="0"/>
                <w:sz w:val="22"/>
              </w:rPr>
              <w:t>비전문취업</w:t>
            </w:r>
            <w:proofErr w:type="spellEnd"/>
            <w:r w:rsidRPr="00CD2129">
              <w:rPr>
                <w:rFonts w:ascii="돋움" w:eastAsia="돋움" w:hAnsi="돋움" w:cs="굴림" w:hint="eastAsia"/>
                <w:color w:val="1D2129"/>
                <w:kern w:val="0"/>
                <w:sz w:val="22"/>
              </w:rPr>
              <w:t>(E-9) 이주민이 체류기간을 초과한 경우임</w:t>
            </w:r>
            <w:r w:rsidRPr="00CD2129">
              <w:rPr>
                <w:rFonts w:ascii="돋움" w:eastAsia="돋움" w:hAnsi="돋움" w:cs="Helvetica" w:hint="eastAsia"/>
                <w:color w:val="1D2129"/>
                <w:kern w:val="0"/>
                <w:sz w:val="22"/>
              </w:rPr>
              <w:t>.</w:t>
            </w:r>
          </w:p>
          <w:p w:rsidR="00CD2129" w:rsidRPr="00CD2129" w:rsidRDefault="00CD2129" w:rsidP="00CD2129">
            <w:pPr>
              <w:widowControl/>
              <w:wordWrap/>
              <w:autoSpaceDE/>
              <w:autoSpaceDN/>
              <w:spacing w:after="0" w:line="240" w:lineRule="auto"/>
              <w:ind w:left="351" w:hanging="284"/>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③  </w:t>
            </w:r>
            <w:r w:rsidRPr="00CD2129">
              <w:rPr>
                <w:rFonts w:ascii="돋움" w:eastAsia="돋움" w:hAnsi="돋움" w:cs="Helvetica" w:hint="eastAsia"/>
                <w:color w:val="1D2129"/>
                <w:kern w:val="0"/>
                <w:sz w:val="22"/>
              </w:rPr>
              <w:t> 2014</w:t>
            </w:r>
            <w:r w:rsidRPr="00CD2129">
              <w:rPr>
                <w:rFonts w:ascii="돋움" w:eastAsia="돋움" w:hAnsi="돋움" w:cs="굴림" w:hint="eastAsia"/>
                <w:color w:val="1D2129"/>
                <w:kern w:val="0"/>
                <w:sz w:val="22"/>
              </w:rPr>
              <w:t>년까지는 E-9으로 입국한 이주민의 미등록 </w:t>
            </w:r>
            <w:proofErr w:type="spellStart"/>
            <w:r w:rsidRPr="00CD2129">
              <w:rPr>
                <w:rFonts w:ascii="돋움" w:eastAsia="돋움" w:hAnsi="돋움" w:cs="굴림" w:hint="eastAsia"/>
                <w:color w:val="1D2129"/>
                <w:kern w:val="0"/>
                <w:sz w:val="22"/>
              </w:rPr>
              <w:t>발생율이</w:t>
            </w:r>
            <w:proofErr w:type="spellEnd"/>
            <w:r w:rsidRPr="00CD2129">
              <w:rPr>
                <w:rFonts w:ascii="돋움" w:eastAsia="돋움" w:hAnsi="돋움" w:cs="굴림" w:hint="eastAsia"/>
                <w:color w:val="1D2129"/>
                <w:kern w:val="0"/>
                <w:sz w:val="22"/>
              </w:rPr>
              <w:t> 가장 높았지만, 2015년에는 B-1로 입국인 이주민의 미등록 발생률이 가장 높아짐. 즉, 이전까지는 장기체류 외국인의 미등록 비율이 높았다면, 현재는 단기방문 입국 후, 체류기간을 초과한 경우가 증가</w:t>
            </w:r>
            <w:r w:rsidRPr="00CD2129">
              <w:rPr>
                <w:rFonts w:ascii="돋움" w:eastAsia="돋움" w:hAnsi="돋움" w:cs="Helvetica" w:hint="eastAsia"/>
                <w:color w:val="1D2129"/>
                <w:kern w:val="0"/>
                <w:sz w:val="22"/>
              </w:rPr>
              <w:t>.</w:t>
            </w:r>
          </w:p>
          <w:p w:rsidR="00CD2129" w:rsidRPr="00CD2129" w:rsidRDefault="00CD2129" w:rsidP="00CD2129">
            <w:pPr>
              <w:widowControl/>
              <w:wordWrap/>
              <w:autoSpaceDE/>
              <w:autoSpaceDN/>
              <w:spacing w:after="0" w:line="240" w:lineRule="auto"/>
              <w:ind w:left="351" w:hanging="284"/>
              <w:rPr>
                <w:rFonts w:ascii="맑은 고딕" w:eastAsia="맑은 고딕" w:hAnsi="맑은 고딕" w:cs="굴림" w:hint="eastAsia"/>
                <w:color w:val="000000"/>
                <w:kern w:val="0"/>
                <w:szCs w:val="20"/>
              </w:rPr>
            </w:pPr>
            <w:proofErr w:type="gramStart"/>
            <w:r w:rsidRPr="00CD2129">
              <w:rPr>
                <w:rFonts w:ascii="돋움" w:eastAsia="돋움" w:hAnsi="돋움" w:cs="굴림" w:hint="eastAsia"/>
                <w:color w:val="1D2129"/>
                <w:kern w:val="0"/>
                <w:sz w:val="22"/>
              </w:rPr>
              <w:t>④  단순기능인력에서</w:t>
            </w:r>
            <w:proofErr w:type="gramEnd"/>
            <w:r w:rsidRPr="00CD2129">
              <w:rPr>
                <w:rFonts w:ascii="돋움" w:eastAsia="돋움" w:hAnsi="돋움" w:cs="굴림" w:hint="eastAsia"/>
                <w:color w:val="1D2129"/>
                <w:kern w:val="0"/>
                <w:sz w:val="22"/>
              </w:rPr>
              <w:t> 미등록 이주민의 발생 비율이 전체 미등록 이주민 중 92%에 해당</w:t>
            </w:r>
            <w:r w:rsidRPr="00CD2129">
              <w:rPr>
                <w:rFonts w:ascii="돋움" w:eastAsia="돋움" w:hAnsi="돋움" w:cs="Helvetica" w:hint="eastAsia"/>
                <w:color w:val="1D2129"/>
                <w:kern w:val="0"/>
                <w:sz w:val="22"/>
              </w:rPr>
              <w:t>.</w:t>
            </w:r>
          </w:p>
          <w:p w:rsidR="00CD2129" w:rsidRPr="00CD2129" w:rsidRDefault="00CD2129" w:rsidP="00CD2129">
            <w:pPr>
              <w:widowControl/>
              <w:wordWrap/>
              <w:autoSpaceDE/>
              <w:autoSpaceDN/>
              <w:spacing w:after="0" w:line="240" w:lineRule="auto"/>
              <w:ind w:left="351" w:hanging="284"/>
              <w:rPr>
                <w:rFonts w:ascii="맑은 고딕" w:eastAsia="맑은 고딕" w:hAnsi="맑은 고딕" w:cs="굴림" w:hint="eastAsia"/>
                <w:color w:val="000000"/>
                <w:kern w:val="0"/>
                <w:szCs w:val="20"/>
              </w:rPr>
            </w:pPr>
            <w:proofErr w:type="gramStart"/>
            <w:r w:rsidRPr="00CD2129">
              <w:rPr>
                <w:rFonts w:ascii="돋움" w:eastAsia="돋움" w:hAnsi="돋움" w:cs="굴림" w:hint="eastAsia"/>
                <w:color w:val="1D2129"/>
                <w:kern w:val="0"/>
                <w:sz w:val="22"/>
              </w:rPr>
              <w:t>⑤  절반</w:t>
            </w:r>
            <w:proofErr w:type="gramEnd"/>
            <w:r w:rsidRPr="00CD2129">
              <w:rPr>
                <w:rFonts w:ascii="돋움" w:eastAsia="돋움" w:hAnsi="돋움" w:cs="굴림" w:hint="eastAsia"/>
                <w:color w:val="1D2129"/>
                <w:kern w:val="0"/>
                <w:sz w:val="22"/>
              </w:rPr>
              <w:t> 이상의 미등록 이주민은 국내 체류기간이 3년 이하이지만, 5년을 초과한 경우도 29.1%. 특히, 10년이상 장기체류 미등록 이주민의 경우 한국에서 새롭게 가족을 형성한 경우가 많고, 본국으로 돌아갈 가능성이 낮기 때문에, 이들을 현실적인 사회구성원으로 봐야 할 필요가 있음</w:t>
            </w:r>
            <w:r w:rsidRPr="00CD2129">
              <w:rPr>
                <w:rFonts w:ascii="돋움" w:eastAsia="돋움" w:hAnsi="돋움" w:cs="Helvetica" w:hint="eastAsia"/>
                <w:color w:val="1D2129"/>
                <w:kern w:val="0"/>
                <w:sz w:val="22"/>
              </w:rPr>
              <w:t>.</w:t>
            </w:r>
          </w:p>
        </w:tc>
      </w:tr>
    </w:tbl>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이러한 미등록 이주민의 법적 지위와 인권의 보호는 매우 취약한 상태입니다. 우선, 국내 체류 외국인에 대한 기본법이라고 할 수 있는 ‘</w:t>
      </w:r>
      <w:proofErr w:type="spellStart"/>
      <w:r w:rsidRPr="00CD2129">
        <w:rPr>
          <w:rFonts w:ascii="돋움" w:eastAsia="돋움" w:hAnsi="돋움" w:cs="굴림" w:hint="eastAsia"/>
          <w:color w:val="1D2129"/>
          <w:kern w:val="0"/>
          <w:sz w:val="22"/>
        </w:rPr>
        <w:t>재한외국인처우기본법</w:t>
      </w:r>
      <w:proofErr w:type="spellEnd"/>
      <w:r w:rsidRPr="00CD2129">
        <w:rPr>
          <w:rFonts w:ascii="돋움" w:eastAsia="돋움" w:hAnsi="돋움" w:cs="굴림" w:hint="eastAsia"/>
          <w:color w:val="1D2129"/>
          <w:kern w:val="0"/>
          <w:sz w:val="22"/>
        </w:rPr>
        <w:t xml:space="preserve">’에서는 </w:t>
      </w:r>
      <w:proofErr w:type="spellStart"/>
      <w:r w:rsidRPr="00CD2129">
        <w:rPr>
          <w:rFonts w:ascii="돋움" w:eastAsia="돋움" w:hAnsi="돋움" w:cs="굴림" w:hint="eastAsia"/>
          <w:color w:val="1D2129"/>
          <w:kern w:val="0"/>
          <w:sz w:val="22"/>
        </w:rPr>
        <w:t>재한외국인을</w:t>
      </w:r>
      <w:proofErr w:type="spellEnd"/>
      <w:r w:rsidRPr="00CD2129">
        <w:rPr>
          <w:rFonts w:ascii="돋움" w:eastAsia="돋움" w:hAnsi="돋움" w:cs="굴림" w:hint="eastAsia"/>
          <w:color w:val="1D2129"/>
          <w:kern w:val="0"/>
          <w:sz w:val="22"/>
        </w:rPr>
        <w:t xml:space="preserve"> ‘대한민국에서 합법적으로 체류하고 있는 외국인’</w:t>
      </w:r>
      <w:proofErr w:type="spellStart"/>
      <w:r w:rsidRPr="00CD2129">
        <w:rPr>
          <w:rFonts w:ascii="돋움" w:eastAsia="돋움" w:hAnsi="돋움" w:cs="굴림" w:hint="eastAsia"/>
          <w:color w:val="1D2129"/>
          <w:kern w:val="0"/>
          <w:sz w:val="22"/>
        </w:rPr>
        <w:t>으로</w:t>
      </w:r>
      <w:proofErr w:type="spellEnd"/>
      <w:r w:rsidRPr="00CD2129">
        <w:rPr>
          <w:rFonts w:ascii="돋움" w:eastAsia="돋움" w:hAnsi="돋움" w:cs="굴림" w:hint="eastAsia"/>
          <w:color w:val="1D2129"/>
          <w:kern w:val="0"/>
          <w:sz w:val="22"/>
        </w:rPr>
        <w:t xml:space="preserve"> 규정하고 있습니다. 이와 관련하여 헌법재판소의 기본적인 입장은 '인류 보편적인 가치의 보장은 외국인에게도 적용하는 것이 합당하지만, 참정권 등에 대한 성질상의 제한 및 상호주의에 따른 제한이 존재한다는 것일 뿐이다'라는 것입니다. </w:t>
      </w:r>
      <w:r w:rsidRPr="00CD2129">
        <w:rPr>
          <w:rFonts w:ascii="돋움" w:eastAsia="돋움" w:hAnsi="돋움" w:cs="굴림" w:hint="eastAsia"/>
          <w:b/>
          <w:bCs/>
          <w:color w:val="1D2129"/>
          <w:kern w:val="0"/>
          <w:sz w:val="22"/>
        </w:rPr>
        <w:t>하지만 “국민과 유사한 지위에 있는 외국인”에 대한 정의가 부정확하고, 외국인에게 보장되는 ‘개별 기본권’의 구분이 모호합니다.</w:t>
      </w:r>
      <w:r w:rsidRPr="00CD2129">
        <w:rPr>
          <w:rFonts w:ascii="돋움" w:eastAsia="돋움" w:hAnsi="돋움" w:cs="굴림" w:hint="eastAsia"/>
          <w:color w:val="1D2129"/>
          <w:kern w:val="0"/>
          <w:sz w:val="22"/>
        </w:rPr>
        <w:t> 이에 대해 정 교수는 불분명하고, 모호한 국내법을 대신하여, 세계인권선언 등의 각종 국제규약 또는 협약에서 비정규이민문제를 온정적으로 처리할 것과 이들의 기본권에 대한 법률적 보호를 권고하고 있지만, 한국에서 출입국법을 위반하여 영토 내에 거주하는 것 자체가 위법성을 띠고, 이러한 미등록 이주민은 퇴거의 대상이 되기 때문에 기본권 보장의 ‘시간적 여유’가 없다고 주장했습니다.</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wordWrap/>
        <w:autoSpaceDE/>
        <w:autoSpaceDN/>
        <w:spacing w:after="0" w:line="240" w:lineRule="auto"/>
        <w:ind w:firstLine="190"/>
        <w:jc w:val="center"/>
        <w:rPr>
          <w:rFonts w:ascii="맑은 고딕" w:eastAsia="맑은 고딕" w:hAnsi="맑은 고딕" w:cs="굴림" w:hint="eastAsia"/>
          <w:color w:val="000000"/>
          <w:kern w:val="0"/>
          <w:szCs w:val="20"/>
        </w:rPr>
      </w:pPr>
      <w:r w:rsidRPr="00CD2129">
        <w:rPr>
          <w:rFonts w:ascii="맑은 고딕" w:eastAsia="맑은 고딕" w:hAnsi="맑은 고딕" w:cs="굴림"/>
          <w:noProof/>
          <w:color w:val="000000"/>
          <w:kern w:val="0"/>
          <w:szCs w:val="20"/>
        </w:rPr>
        <w:drawing>
          <wp:inline distT="0" distB="0" distL="0" distR="0">
            <wp:extent cx="4762500" cy="2678430"/>
            <wp:effectExtent l="0" t="0" r="0" b="7620"/>
            <wp:docPr id="4" name="그림 4" descr="http://cfile21.uf.tistory.com/image/2452A14E5825349818D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_entry_71957_" descr="http://cfile21.uf.tistory.com/image/2452A14E5825349818DEC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678430"/>
                    </a:xfrm>
                    <a:prstGeom prst="rect">
                      <a:avLst/>
                    </a:prstGeom>
                    <a:noFill/>
                    <a:ln>
                      <a:noFill/>
                    </a:ln>
                  </pic:spPr>
                </pic:pic>
              </a:graphicData>
            </a:graphic>
          </wp:inline>
        </w:drawing>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&lt;왼쪽부터 박영아 변호사, 사회자 </w:t>
      </w:r>
      <w:proofErr w:type="spellStart"/>
      <w:r w:rsidRPr="00CD2129">
        <w:rPr>
          <w:rFonts w:ascii="돋움" w:eastAsia="돋움" w:hAnsi="돋움" w:cs="굴림" w:hint="eastAsia"/>
          <w:color w:val="1D2129"/>
          <w:kern w:val="0"/>
          <w:sz w:val="22"/>
        </w:rPr>
        <w:t>김환학</w:t>
      </w:r>
      <w:proofErr w:type="spellEnd"/>
      <w:r w:rsidRPr="00CD2129">
        <w:rPr>
          <w:rFonts w:ascii="돋움" w:eastAsia="돋움" w:hAnsi="돋움" w:cs="굴림" w:hint="eastAsia"/>
          <w:color w:val="1D2129"/>
          <w:kern w:val="0"/>
          <w:sz w:val="22"/>
        </w:rPr>
        <w:t xml:space="preserve"> 헌법재판연구원, 발표를 하고 </w:t>
      </w:r>
      <w:proofErr w:type="spellStart"/>
      <w:r w:rsidRPr="00CD2129">
        <w:rPr>
          <w:rFonts w:ascii="돋움" w:eastAsia="돋움" w:hAnsi="돋움" w:cs="굴림" w:hint="eastAsia"/>
          <w:color w:val="1D2129"/>
          <w:kern w:val="0"/>
          <w:sz w:val="22"/>
        </w:rPr>
        <w:t>있</w:t>
      </w:r>
      <w:proofErr w:type="spellEnd"/>
      <w:r w:rsidRPr="00CD2129">
        <w:rPr>
          <w:rFonts w:ascii="돋움" w:eastAsia="돋움" w:hAnsi="돋움" w:cs="굴림" w:hint="eastAsia"/>
          <w:color w:val="1D2129"/>
          <w:kern w:val="0"/>
          <w:sz w:val="22"/>
        </w:rPr>
        <w:t xml:space="preserve">   는 정상우 교수&gt;</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 그렇다면, 이러한 미등록 이주민은 어떤 인권침해를 겪고 있을까요? 정 교수는 인권침해 유형을 출입국관리, 노동 그리고 사회보장 분야로 분류했습니다. 우선, 출입국관리 분야에서의 인권침해는 과거보다 사례가 줄어들긴 했지만, 2009년 국가인권위원회의 조사결과에 따르면, 단속과정에서 무시되는 </w:t>
      </w:r>
      <w:proofErr w:type="spellStart"/>
      <w:r w:rsidRPr="00CD2129">
        <w:rPr>
          <w:rFonts w:ascii="돋움" w:eastAsia="돋움" w:hAnsi="돋움" w:cs="굴림" w:hint="eastAsia"/>
          <w:color w:val="1D2129"/>
          <w:kern w:val="0"/>
          <w:sz w:val="22"/>
        </w:rPr>
        <w:t>법절차와</w:t>
      </w:r>
      <w:proofErr w:type="spellEnd"/>
      <w:r w:rsidRPr="00CD2129">
        <w:rPr>
          <w:rFonts w:ascii="돋움" w:eastAsia="돋움" w:hAnsi="돋움" w:cs="굴림" w:hint="eastAsia"/>
          <w:color w:val="1D2129"/>
          <w:kern w:val="0"/>
          <w:sz w:val="22"/>
        </w:rPr>
        <w:t xml:space="preserve"> 폭력적인 진압으로 인해, 2003년에만 100여 명의 미등록 이주민이 사망했습니다. 최근에는 외국인 보호소의 보호 환경과 강제퇴거 과정과 관련된 미등록 이주민의 기본적인 인권에 대한 처우가 문제가 되고 있습니다. 수용자의 기본적인 인권을 고려하지 않은 구금은 사실상 구속의 성질을 갖고 있지만, 대법원과 헌법재판소에서는 미등록 이주민에 대한 영장주의가 적용되지 않는다는 판결을 내렸습니다. </w:t>
      </w:r>
      <w:r w:rsidRPr="00CD2129">
        <w:rPr>
          <w:rFonts w:ascii="돋움" w:eastAsia="돋움" w:hAnsi="돋움" w:cs="굴림" w:hint="eastAsia"/>
          <w:b/>
          <w:bCs/>
          <w:color w:val="1D2129"/>
          <w:kern w:val="0"/>
          <w:sz w:val="22"/>
        </w:rPr>
        <w:t xml:space="preserve">그러나 보호라는 명목으로 구금된 미등록 이주민은 형사법을 위반한 것이 아닌 행정절차를 위반한 사람들이며, 본국으로 돌아가기 전에 잠시 보호소에 머무는 것이기 때문에 이들에 대한 과도한 </w:t>
      </w:r>
      <w:proofErr w:type="spellStart"/>
      <w:r w:rsidRPr="00CD2129">
        <w:rPr>
          <w:rFonts w:ascii="돋움" w:eastAsia="돋움" w:hAnsi="돋움" w:cs="굴림" w:hint="eastAsia"/>
          <w:b/>
          <w:bCs/>
          <w:color w:val="1D2129"/>
          <w:kern w:val="0"/>
          <w:sz w:val="22"/>
        </w:rPr>
        <w:t>법집행을</w:t>
      </w:r>
      <w:proofErr w:type="spellEnd"/>
      <w:r w:rsidRPr="00CD2129">
        <w:rPr>
          <w:rFonts w:ascii="돋움" w:eastAsia="돋움" w:hAnsi="돋움" w:cs="굴림" w:hint="eastAsia"/>
          <w:b/>
          <w:bCs/>
          <w:color w:val="1D2129"/>
          <w:kern w:val="0"/>
          <w:sz w:val="22"/>
        </w:rPr>
        <w:t xml:space="preserve"> 통제할 제도적 장치가 마련되어야 한다</w:t>
      </w:r>
      <w:r w:rsidRPr="00CD2129">
        <w:rPr>
          <w:rFonts w:ascii="돋움" w:eastAsia="돋움" w:hAnsi="돋움" w:cs="굴림" w:hint="eastAsia"/>
          <w:color w:val="1D2129"/>
          <w:kern w:val="0"/>
          <w:sz w:val="22"/>
        </w:rPr>
        <w:t>고 정 교수는 주장했습니다. 또한 강제퇴거 과정에서 무시되는 체불임금 청산 절차와 행정소송 제기의 권리, 변호인의 접견교통권 등의 권리를 포함한 권리보장체계에 대한 개정이 필요합니다.</w:t>
      </w: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이어서 노동 분야의 인권침해에 관련하여서 정 교수는 대부분의 미등록 이주민은 이주노동자이며, 이들에게는 체류자격과 동시에 취업자격 또한 주어지지 않았기 때문에 열악한 노동환경과 임금체불 등의 상황에서 적극적으로 자신의 권리를 주장할 수 없다고 말했습니다. 관련 사례들은 앞서 말한 열악한 근로조건, 임금체불, 산업재해, 사업장변경의 어려움, 농</w:t>
      </w:r>
      <w:proofErr w:type="gramStart"/>
      <w:r w:rsidRPr="00CD2129">
        <w:rPr>
          <w:rFonts w:ascii="돋움" w:eastAsia="돋움" w:hAnsi="돋움" w:cs="굴림" w:hint="eastAsia"/>
          <w:color w:val="1D2129"/>
          <w:kern w:val="0"/>
          <w:sz w:val="22"/>
        </w:rPr>
        <w:t>.축산업에서의</w:t>
      </w:r>
      <w:proofErr w:type="gramEnd"/>
      <w:r w:rsidRPr="00CD2129">
        <w:rPr>
          <w:rFonts w:ascii="돋움" w:eastAsia="돋움" w:hAnsi="돋움" w:cs="굴림" w:hint="eastAsia"/>
          <w:color w:val="1D2129"/>
          <w:kern w:val="0"/>
          <w:sz w:val="22"/>
        </w:rPr>
        <w:t xml:space="preserve"> 열악한 인권 상황으로 요약하여 설명할 수 있습니다. 예를 들어, 임금체불이나 산업재해의 경우, 일부 사업주들은 미등록 이주민들의 체류자격이나 부족한 의사소통을 부당하게 이용하여, 이들의 기본적인 권리를 침해하는 사례가 다수 발견되고 있습니다. 이와 더불어, 미등록 이주민의 보건 또한 이들이 겪고 있는 가장 취약한 부분이기도 합니다. 대부분의 미등록 이주민들은 이주지원단체들의 무료의료봉사 등의 제한적인 의료지원에 의존하고 있으며, 국민건강보험 가입 대상자에 해당하지 않기 때문에 진료비 부담을 느끼고 있습니다. 이러한 인권침해는 미등록 이주민의 자녀에게도 해당됩니다. 2011년 약 2만 여명의 미등록 이주아동이 추산되었는데, 이 아동들은 성장과 발달 과정에 있기 때문에 건강과 교육 등 기본적인 권리의 보장이 더욱 시급하다고 정 교수는 주장했습니다. </w:t>
      </w:r>
      <w:r w:rsidRPr="00CD2129">
        <w:rPr>
          <w:rFonts w:ascii="돋움" w:eastAsia="돋움" w:hAnsi="돋움" w:cs="굴림" w:hint="eastAsia"/>
          <w:b/>
          <w:bCs/>
          <w:color w:val="1D2129"/>
          <w:kern w:val="0"/>
          <w:sz w:val="22"/>
        </w:rPr>
        <w:t xml:space="preserve">특히, 이주아동이 건강하게 성장하는데 결정적인 요소인 교육분야에서 가장 취약함을 보였는데, 과거에 비해 이주아동들이 한국의 교육 서비스에 접근할 수 있는 기회가 비교적 많아졌다고 하지만, 열악한 </w:t>
      </w:r>
      <w:proofErr w:type="gramStart"/>
      <w:r w:rsidRPr="00CD2129">
        <w:rPr>
          <w:rFonts w:ascii="돋움" w:eastAsia="돋움" w:hAnsi="돋움" w:cs="굴림" w:hint="eastAsia"/>
          <w:b/>
          <w:bCs/>
          <w:color w:val="1D2129"/>
          <w:kern w:val="0"/>
          <w:sz w:val="22"/>
        </w:rPr>
        <w:t>경제사정 뿐만</w:t>
      </w:r>
      <w:proofErr w:type="gramEnd"/>
      <w:r w:rsidRPr="00CD2129">
        <w:rPr>
          <w:rFonts w:ascii="돋움" w:eastAsia="돋움" w:hAnsi="돋움" w:cs="굴림" w:hint="eastAsia"/>
          <w:b/>
          <w:bCs/>
          <w:color w:val="1D2129"/>
          <w:kern w:val="0"/>
          <w:sz w:val="22"/>
        </w:rPr>
        <w:t xml:space="preserve"> 아니라, 이주아동의 학교 입학은 학교장 재량에 의해 이루어지고, 대부분의 이주민 가족은 해당 교육청이나 주민센터로부터 입학 안내를 받지 못합니다.</w:t>
      </w:r>
      <w:r w:rsidRPr="00CD2129">
        <w:rPr>
          <w:rFonts w:ascii="돋움" w:eastAsia="돋움" w:hAnsi="돋움" w:cs="굴림" w:hint="eastAsia"/>
          <w:color w:val="1D2129"/>
          <w:kern w:val="0"/>
          <w:sz w:val="22"/>
        </w:rPr>
        <w:t> 이는 학교 생활에의 부적응, 학습 이해도 부족 등의 이유로 미등록 이주민의 아동의 정상적인 교육활동을 저해합니다. UN아동권리협약에 의하면 정부는 체류자격과 관계없이 모든 아동에게 교육 서비스를 제공해야 하지만, 미등록 이주아동은 이러한 협약과 조약 등에서 배제되고 있습니다. </w:t>
      </w: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 그렇다면 미등록 이주민에 대한 이러한 인권침해에는 어떻게 대응할 수 있을까요? 정 교수는 출입국관리 과정, 노동 사업장, 근로현장, 사회보장 </w:t>
      </w:r>
      <w:proofErr w:type="spellStart"/>
      <w:r w:rsidRPr="00CD2129">
        <w:rPr>
          <w:rFonts w:ascii="돋움" w:eastAsia="돋움" w:hAnsi="돋움" w:cs="굴림" w:hint="eastAsia"/>
          <w:color w:val="1D2129"/>
          <w:kern w:val="0"/>
          <w:sz w:val="22"/>
        </w:rPr>
        <w:t>접근성</w:t>
      </w:r>
      <w:proofErr w:type="spellEnd"/>
      <w:r w:rsidRPr="00CD2129">
        <w:rPr>
          <w:rFonts w:ascii="돋움" w:eastAsia="돋움" w:hAnsi="돋움" w:cs="굴림" w:hint="eastAsia"/>
          <w:color w:val="1D2129"/>
          <w:kern w:val="0"/>
          <w:sz w:val="22"/>
        </w:rPr>
        <w:t>, 체류자격 부여의 측면에서 다루었습니다. 우선, 출입국관리 과정에서는 단속절차에 대한 명시적인 규정과 외국인 보호제도에 대한 보완, 출입국관리공무원에 대한 인권교육 및 다문화교육 그리고 출입국관리 집행 시의 미등록 외국인에 대한 권리보호가 충분히 이루어져야 한다고 정 교수는 지적했습니다. 이어서 노동 사업장에서의 인권 증진 방안에 대해서 정 교수는 현행 고용허가제와 그와 관련된 규정들은 너무 경직되어있어 귀책사유 없이 미등록 이주민을 양산하고 있다고 주장하면서, 이러한 이주민을 보호할 수 있는 제한규정 개정이 필요하다고 역설했습니다. 현행 고용허가제에서는 이주노동자의 사업장 변경을 원칙적으로 금지하되, 예외적인 사유 내에서만 제한적으로 허용되고 있습니다. 사업장 변경을 자유롭게 허용할 경우 미등록 체류자의 양산을 불러일으킬 수 있기 때문입니다. </w:t>
      </w: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이러한 이유로 인해 보다 현실적인 개선 방안은 사업장 변경 사유 또는 기간을 확대하는 것입니다. 폭행 등의 부당한 처우나, 기업의 도산이나 장기간의 임금체불과 같이 이주노동자에게 귀책사유가 없는 경우, 고용허가제에서 규정한 신청기간이 경과되었다고 하더라도, 예외규정을 두고 구제할 수 있는 방안이나, 일정한 금액의 과태료를 부과하여 미등록 이주민으로 전락하는 것을 예방하는 것이 될 수 있습니다. </w:t>
      </w:r>
      <w:r w:rsidRPr="00CD2129">
        <w:rPr>
          <w:rFonts w:ascii="돋움" w:eastAsia="돋움" w:hAnsi="돋움" w:cs="굴림" w:hint="eastAsia"/>
          <w:b/>
          <w:bCs/>
          <w:color w:val="1D2129"/>
          <w:kern w:val="0"/>
          <w:sz w:val="22"/>
        </w:rPr>
        <w:t>근로현장서의 인권증진 방안으로는 근로기준법을 위반한 경우 처벌 수위를 높이고, 이주노동자의 권리를 보호할 수 있는 각종 보험 등의 가입 여부를 철저히 확인하는 것이 대두되었지만, 무엇보다도 이주민은 체류자격과 상관없이 근로자로서 보호를 받을 수 있다는 인식전환이 가장 시급한 문제라고 정 교수는 주장했습니다.</w:t>
      </w:r>
      <w:r w:rsidRPr="00CD2129">
        <w:rPr>
          <w:rFonts w:ascii="돋움" w:eastAsia="돋움" w:hAnsi="돋움" w:cs="굴림" w:hint="eastAsia"/>
          <w:color w:val="1D2129"/>
          <w:kern w:val="0"/>
          <w:sz w:val="22"/>
        </w:rPr>
        <w:t xml:space="preserve"> 다음으로 사회보장 </w:t>
      </w:r>
      <w:proofErr w:type="spellStart"/>
      <w:r w:rsidRPr="00CD2129">
        <w:rPr>
          <w:rFonts w:ascii="돋움" w:eastAsia="돋움" w:hAnsi="돋움" w:cs="굴림" w:hint="eastAsia"/>
          <w:color w:val="1D2129"/>
          <w:kern w:val="0"/>
          <w:sz w:val="22"/>
        </w:rPr>
        <w:t>접근성</w:t>
      </w:r>
      <w:proofErr w:type="spellEnd"/>
      <w:r w:rsidRPr="00CD2129">
        <w:rPr>
          <w:rFonts w:ascii="돋움" w:eastAsia="돋움" w:hAnsi="돋움" w:cs="굴림" w:hint="eastAsia"/>
          <w:color w:val="1D2129"/>
          <w:kern w:val="0"/>
          <w:sz w:val="22"/>
        </w:rPr>
        <w:t xml:space="preserve"> 측면에서 정 교수는 특히 장기체류 미등록 이주민과 미등록 이주아동에 대한 의료서비스 제공 여부가 논의되어야 한다고 주장했습니다. 현재 국내 이주민 기본법이라고 할 수 있는 『</w:t>
      </w:r>
      <w:proofErr w:type="spellStart"/>
      <w:r w:rsidRPr="00CD2129">
        <w:rPr>
          <w:rFonts w:ascii="돋움" w:eastAsia="돋움" w:hAnsi="돋움" w:cs="굴림" w:hint="eastAsia"/>
          <w:color w:val="1D2129"/>
          <w:kern w:val="0"/>
          <w:sz w:val="22"/>
        </w:rPr>
        <w:t>재한외국인처우기본법</w:t>
      </w:r>
      <w:proofErr w:type="spellEnd"/>
      <w:r w:rsidRPr="00CD2129">
        <w:rPr>
          <w:rFonts w:ascii="돋움" w:eastAsia="돋움" w:hAnsi="돋움" w:cs="굴림" w:hint="eastAsia"/>
          <w:color w:val="1D2129"/>
          <w:kern w:val="0"/>
          <w:sz w:val="22"/>
        </w:rPr>
        <w:t xml:space="preserve">』과 여러 자치조례에서 체류자격이 없는 이주민을 의료서비스 지원대상에서 제외시킨 것은 비판 받아야 하며, 특히 미등록 이주아동은 인도주의적 차원에서 의료급여 </w:t>
      </w:r>
      <w:proofErr w:type="spellStart"/>
      <w:r w:rsidRPr="00CD2129">
        <w:rPr>
          <w:rFonts w:ascii="돋움" w:eastAsia="돋움" w:hAnsi="돋움" w:cs="굴림" w:hint="eastAsia"/>
          <w:color w:val="1D2129"/>
          <w:kern w:val="0"/>
          <w:sz w:val="22"/>
        </w:rPr>
        <w:t>수급권자에</w:t>
      </w:r>
      <w:proofErr w:type="spellEnd"/>
      <w:r w:rsidRPr="00CD2129">
        <w:rPr>
          <w:rFonts w:ascii="돋움" w:eastAsia="돋움" w:hAnsi="돋움" w:cs="굴림" w:hint="eastAsia"/>
          <w:color w:val="1D2129"/>
          <w:kern w:val="0"/>
          <w:sz w:val="22"/>
        </w:rPr>
        <w:t xml:space="preserve"> 포함시켜야 합니다. 마지막으로 체류자격의 부여 측면에서는 영국, 일본, 캐나다와 같이 다양한 측면의 체류 요건을 검토하여, 보다 다양한 기회를 제공함으로써, 일률적인 법의 적용보다는 사회와의 유대관계를 고려하는 것이 중요할 것이라고 정 교수는 주장했습니다.</w:t>
      </w: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EEEEE"/>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정 교수의 발표에 이어 </w:t>
      </w:r>
      <w:proofErr w:type="spellStart"/>
      <w:r w:rsidRPr="00CD2129">
        <w:rPr>
          <w:rFonts w:ascii="돋움" w:eastAsia="돋움" w:hAnsi="돋움" w:cs="굴림" w:hint="eastAsia"/>
          <w:color w:val="1D2129"/>
          <w:kern w:val="0"/>
          <w:sz w:val="22"/>
        </w:rPr>
        <w:t>공익인권법재단</w:t>
      </w:r>
      <w:proofErr w:type="spellEnd"/>
      <w:r w:rsidRPr="00CD2129">
        <w:rPr>
          <w:rFonts w:ascii="돋움" w:eastAsia="돋움" w:hAnsi="돋움" w:cs="굴림" w:hint="eastAsia"/>
          <w:color w:val="1D2129"/>
          <w:kern w:val="0"/>
          <w:sz w:val="22"/>
        </w:rPr>
        <w:t xml:space="preserve"> 공감의 박영아 변호사는 ‘미등록 이주민 인권침해 실태 및 대응방안’에 대한 </w:t>
      </w:r>
      <w:proofErr w:type="spellStart"/>
      <w:r w:rsidRPr="00CD2129">
        <w:rPr>
          <w:rFonts w:ascii="돋움" w:eastAsia="돋움" w:hAnsi="돋움" w:cs="굴림" w:hint="eastAsia"/>
          <w:color w:val="1D2129"/>
          <w:kern w:val="0"/>
          <w:sz w:val="22"/>
        </w:rPr>
        <w:t>토론문</w:t>
      </w:r>
      <w:proofErr w:type="spellEnd"/>
      <w:r w:rsidRPr="00CD2129">
        <w:rPr>
          <w:rFonts w:ascii="돋움" w:eastAsia="돋움" w:hAnsi="돋움" w:cs="굴림" w:hint="eastAsia"/>
          <w:color w:val="1D2129"/>
          <w:kern w:val="0"/>
          <w:sz w:val="22"/>
        </w:rPr>
        <w:t xml:space="preserve"> 발표를 이어나갔습니다. 박 변호사는 불법체류자들이 흔히 ‘범죄집단’</w:t>
      </w:r>
      <w:proofErr w:type="spellStart"/>
      <w:r w:rsidRPr="00CD2129">
        <w:rPr>
          <w:rFonts w:ascii="돋움" w:eastAsia="돋움" w:hAnsi="돋움" w:cs="굴림" w:hint="eastAsia"/>
          <w:color w:val="1D2129"/>
          <w:kern w:val="0"/>
          <w:sz w:val="22"/>
        </w:rPr>
        <w:t>으로</w:t>
      </w:r>
      <w:proofErr w:type="spellEnd"/>
      <w:r w:rsidRPr="00CD2129">
        <w:rPr>
          <w:rFonts w:ascii="돋움" w:eastAsia="돋움" w:hAnsi="돋움" w:cs="굴림" w:hint="eastAsia"/>
          <w:color w:val="1D2129"/>
          <w:kern w:val="0"/>
          <w:sz w:val="22"/>
        </w:rPr>
        <w:t xml:space="preserve"> 묘사되는 우리나라의 현 실태를 꼬집으면서, 미등록 이주민에 대해 발생하는 인권침해는 국경관리의 필요성에 의해 불가피하게 발생하는 부작용 정도로 취급하는 관점이 있다는 사실과 이러한 관점은 ‘구제거부’와 ‘구제포기’라는 현상으로 발현이 된다고 주장했습니다. 구제거부는 통보의무로 범죄피해신고나 의료서비스에 대한 접근 등을 어렵게 하는 것을 예로 들 수 있습니다. 사용자의 이탈신고에 의해 외국인노동자의 체류자격이 좌우되는 문제는 이탈신고가 분쟁에서 오히려 외국인노동자를 공격하기 위한 무기로 변질되기도 했습니다. 이어서 구제포기의 대표적인 사례는 미등록 이주아동을 들 수 있습니다. 미등록 이주아동은 실질적으로 한국사회에 편입되어 사회구성원으로 살아가고 있지만, 정상적으로 직장을 갖거나 결혼하여 가정을 이룰 수 있을 가능성이 매우 희박하고, 이들 미등록 이주아동에 대한 구제는 부모의 미등록체류를 유발할 수 있다는 이유로 구제포기로 이어지고 있습니다. 정상우 교수의 발표에서도 알 수 있듯이 출입국관리법 위반자에 대한 단속은 여러 관점에서의 인권침해를 동반할 수 있기 때문에 매우 신중하게 접근해야 함에도 불구하고, 단속의 효율성과 단속인원의 부족, 그리고 법적 수단의 부족과 재량에 의존하여 광범위한 예외를 인정하는 관행으로 인해 이러한 침해가 용인되어 왔습니다. 하지만 박 변호사는 미등록 이주민은 체류자격이 없다고 하더라도 인류보편적인 인권은 </w:t>
      </w:r>
      <w:proofErr w:type="spellStart"/>
      <w:r w:rsidRPr="00CD2129">
        <w:rPr>
          <w:rFonts w:ascii="돋움" w:eastAsia="돋움" w:hAnsi="돋움" w:cs="굴림" w:hint="eastAsia"/>
          <w:color w:val="1D2129"/>
          <w:kern w:val="0"/>
          <w:sz w:val="22"/>
        </w:rPr>
        <w:t>존중받아야</w:t>
      </w:r>
      <w:proofErr w:type="spellEnd"/>
      <w:r w:rsidRPr="00CD2129">
        <w:rPr>
          <w:rFonts w:ascii="돋움" w:eastAsia="돋움" w:hAnsi="돋움" w:cs="굴림" w:hint="eastAsia"/>
          <w:color w:val="1D2129"/>
          <w:kern w:val="0"/>
          <w:sz w:val="22"/>
        </w:rPr>
        <w:t xml:space="preserve"> 하며, 한국의 사법기관과 행정기관 또한 법 집행에 앞서 여러 요소들을 고려해야 한다고 주장했습니다. </w:t>
      </w:r>
      <w:r w:rsidRPr="00CD2129">
        <w:rPr>
          <w:rFonts w:ascii="돋움" w:eastAsia="돋움" w:hAnsi="돋움" w:cs="굴림" w:hint="eastAsia"/>
          <w:color w:val="1D2129"/>
          <w:kern w:val="0"/>
          <w:sz w:val="22"/>
        </w:rPr>
        <w:tab/>
      </w:r>
      <w:r w:rsidRPr="00CD2129">
        <w:rPr>
          <w:rFonts w:ascii="돋움" w:eastAsia="돋움" w:hAnsi="돋움" w:cs="굴림" w:hint="eastAsia"/>
          <w:color w:val="1D2129"/>
          <w:kern w:val="0"/>
          <w:sz w:val="22"/>
        </w:rPr>
        <w:tab/>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FEFEB8"/>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어필의 이일 변호사는 두 번째 주제의 발표자로 참여하여, ‘불법체류(통제)의 법적 쟁점’이라는 주제를 통해 정책결정자의 관점이 아닌 인권옹호자관점의 행정과 한계 안에서 행사해야 할 재량에 있어서 미등록 이주민의 기본권의 옹호는 궁극적으로 우리 국민 더 나아가 '인간'의 권리를 확인하는 것임을 주장했습니다. 본격적으로 불법체류(통제)의 법적 쟁점을 다루기에 앞서, 이 변호사는 </w:t>
      </w:r>
      <w:r w:rsidRPr="00CD2129">
        <w:rPr>
          <w:rFonts w:ascii="돋움" w:eastAsia="돋움" w:hAnsi="돋움" w:cs="굴림" w:hint="eastAsia"/>
          <w:b/>
          <w:bCs/>
          <w:color w:val="1D2129"/>
          <w:kern w:val="0"/>
          <w:sz w:val="22"/>
        </w:rPr>
        <w:t xml:space="preserve">불법체류에 관련한 </w:t>
      </w:r>
      <w:proofErr w:type="spellStart"/>
      <w:r w:rsidRPr="00CD2129">
        <w:rPr>
          <w:rFonts w:ascii="돋움" w:eastAsia="돋움" w:hAnsi="돋움" w:cs="굴림" w:hint="eastAsia"/>
          <w:b/>
          <w:bCs/>
          <w:color w:val="1D2129"/>
          <w:kern w:val="0"/>
          <w:sz w:val="22"/>
        </w:rPr>
        <w:t>제반문제를</w:t>
      </w:r>
      <w:proofErr w:type="spellEnd"/>
      <w:r w:rsidRPr="00CD2129">
        <w:rPr>
          <w:rFonts w:ascii="돋움" w:eastAsia="돋움" w:hAnsi="돋움" w:cs="굴림" w:hint="eastAsia"/>
          <w:b/>
          <w:bCs/>
          <w:color w:val="1D2129"/>
          <w:kern w:val="0"/>
          <w:sz w:val="22"/>
        </w:rPr>
        <w:t xml:space="preserve"> 바라보는 입장은 두 가지가 있다고 설명했습니다. 불법체류를 엄정한 법질서 훼손의 범법행위로 이해하여 강력한 규제와 물리적인 추방을 긍정하는 정책결정자의 관점과 세계화와 노동력의 국제이동, 국제분쟁의 항구화 속에서 발생한 불가피한 사태와 일국의 법질서 사이의 괴리 속에서 발생하는 수긍 가능한 상황으로 이해하여 불법체류자의 합법화 정책 및 당해 외국인의 체류, 잠재적 영주가능성을 포함한 제반 인권에 대한 옹호에 집중하는 인권옹호자의 관점</w:t>
      </w:r>
      <w:r w:rsidRPr="00CD2129">
        <w:rPr>
          <w:rFonts w:ascii="돋움" w:eastAsia="돋움" w:hAnsi="돋움" w:cs="굴림" w:hint="eastAsia"/>
          <w:color w:val="1D2129"/>
          <w:kern w:val="0"/>
          <w:sz w:val="22"/>
        </w:rPr>
        <w:t>입니다. 이러한 관점이 존재한다는 것을 인지하는 것이 중요한 이유는 불법체류가 심각한 수준의 형사법을 위반한 것이 아닌 행정절차를 위반한 것임에도 불구하고 지금까지 이어져 온 불법체류에 대한 통제행위가 정책결정자의 관점에만 충실하여 개별적으로 심사되어야만 하는 행정법적 관점에 의한 심사가 이루어지지 않았다는 것을 알 수 있기 때문입니다. 이로 인해 ‘국가에게 부여된 출입국관리의 광범위한 재량’을 행사하는데 있어서, 정책결정자의 입장을 택하여 미등록 이주민에 대한 인권침해와 통제행위를 승인하고, 이에 대한 대응이 다양하고 정교한 접근으로 발전하지 못함을 뜻하기도 합니다. 이에 관련하여 이 변호사는 기존의 정책결정자의 관점이 아닌 인권옹호자의 관점에서의 불법체류 통제의 범위와 한계에 대해 살펴보았습니다.</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wordWrap/>
        <w:autoSpaceDE/>
        <w:autoSpaceDN/>
        <w:spacing w:after="0" w:line="240" w:lineRule="auto"/>
        <w:ind w:firstLine="190"/>
        <w:jc w:val="center"/>
        <w:rPr>
          <w:rFonts w:ascii="맑은 고딕" w:eastAsia="맑은 고딕" w:hAnsi="맑은 고딕" w:cs="굴림" w:hint="eastAsia"/>
          <w:color w:val="000000"/>
          <w:kern w:val="0"/>
          <w:szCs w:val="20"/>
        </w:rPr>
      </w:pPr>
      <w:r w:rsidRPr="00CD2129">
        <w:rPr>
          <w:rFonts w:ascii="맑은 고딕" w:eastAsia="맑은 고딕" w:hAnsi="맑은 고딕" w:cs="굴림"/>
          <w:noProof/>
          <w:color w:val="000000"/>
          <w:kern w:val="0"/>
          <w:szCs w:val="20"/>
        </w:rPr>
        <w:drawing>
          <wp:inline distT="0" distB="0" distL="0" distR="0">
            <wp:extent cx="4762500" cy="2678430"/>
            <wp:effectExtent l="0" t="0" r="0" b="7620"/>
            <wp:docPr id="3" name="그림 3" descr="http://cfile8.uf.tistory.com/image/2431B75058253218169F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_entry_15579_" descr="http://cfile8.uf.tistory.com/image/2431B75058253218169F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678430"/>
                    </a:xfrm>
                    <a:prstGeom prst="rect">
                      <a:avLst/>
                    </a:prstGeom>
                    <a:noFill/>
                    <a:ln>
                      <a:noFill/>
                    </a:ln>
                  </pic:spPr>
                </pic:pic>
              </a:graphicData>
            </a:graphic>
          </wp:inline>
        </w:drawing>
      </w:r>
    </w:p>
    <w:p w:rsidR="00CD2129" w:rsidRPr="00CD2129" w:rsidRDefault="00CD2129" w:rsidP="00CD2129">
      <w:pPr>
        <w:widowControl/>
        <w:wordWrap/>
        <w:autoSpaceDE/>
        <w:autoSpaceDN/>
        <w:spacing w:after="0" w:line="240" w:lineRule="auto"/>
        <w:ind w:firstLine="190"/>
        <w:jc w:val="center"/>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&lt;제 2주제 발표를 하고 있는 이일 변호사&gt;</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FEFEB8"/>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이일 변호사에 따르면, ‘통제’란 불법체류를 줄이는 방법 중 하나로 즉, 불법체류자를 ‘규정하고, 찾아내고, 명하고, 가두고, 내쫓는 것’이라고 말할 수 있습니다. 이를 법적 개념에 대입하면, 행정규범 수립을 통해 체류자격의 기준과 범위를 정하는 것, 법을 통해 불법체류를 파악하고, 출국을 명하거나 강제로 쫓아내는 것, 그리고 구금하는 것으로 볼 수 있습니다. </w:t>
      </w:r>
    </w:p>
    <w:p w:rsidR="00CD2129" w:rsidRPr="00CD2129" w:rsidRDefault="00CD2129" w:rsidP="00CD2129">
      <w:pPr>
        <w:widowControl/>
        <w:shd w:val="clear" w:color="auto" w:fill="FEFEB8"/>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FEFEB8"/>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 우선 미등록 이주민의 통제는 이들을 어떻게 ‘찾아낼 것인가’에서 시작됩니다. 이 과정에서 미등록 이주민에 대한 인권침해 사례가 발생하는데, 사업장 또는 주택 무단 진입, 체포에 준한 신병 확보와 같은 인권침해는 </w:t>
      </w:r>
      <w:proofErr w:type="spellStart"/>
      <w:r w:rsidRPr="00CD2129">
        <w:rPr>
          <w:rFonts w:ascii="돋움" w:eastAsia="돋움" w:hAnsi="돋움" w:cs="굴림" w:hint="eastAsia"/>
          <w:color w:val="1D2129"/>
          <w:kern w:val="0"/>
          <w:sz w:val="22"/>
        </w:rPr>
        <w:t>법적근거가</w:t>
      </w:r>
      <w:proofErr w:type="spellEnd"/>
      <w:r w:rsidRPr="00CD2129">
        <w:rPr>
          <w:rFonts w:ascii="돋움" w:eastAsia="돋움" w:hAnsi="돋움" w:cs="굴림" w:hint="eastAsia"/>
          <w:color w:val="1D2129"/>
          <w:kern w:val="0"/>
          <w:sz w:val="22"/>
        </w:rPr>
        <w:t xml:space="preserve"> 미약할 뿐만 아니라 미등록 이주민을 도주 중 사상에 이르게 까지 합니다. 이러한 ‘찾아내는 과정’은 오랫동안 비판 받아 왔는데, 특히, ‘</w:t>
      </w:r>
      <w:r w:rsidRPr="00CD2129">
        <w:rPr>
          <w:rFonts w:ascii="돋움" w:eastAsia="돋움" w:hAnsi="돋움" w:cs="굴림" w:hint="eastAsia"/>
          <w:b/>
          <w:bCs/>
          <w:color w:val="1D2129"/>
          <w:kern w:val="0"/>
          <w:sz w:val="22"/>
        </w:rPr>
        <w:t>사업장 수색’과 ‘구인(拘引)’은 명백한 법적 근거가 없을 뿐만 아니라, 무분별한 사업장 수색은 미등록 이주민을 단속의 공포와 위험한 상황으로 몰아넣기도 한다. 또한 ‘수용’은 현재 ‘보호’라는 용어로 대체되었지만, 이것은 기존의 ‘수용’에 대한 부정적인 어감을 가릴 뿐 사실상 체포와 강제연행 포함한 행정절차를 확장한 개념</w:t>
      </w:r>
      <w:r w:rsidRPr="00CD2129">
        <w:rPr>
          <w:rFonts w:ascii="돋움" w:eastAsia="돋움" w:hAnsi="돋움" w:cs="굴림" w:hint="eastAsia"/>
          <w:color w:val="1D2129"/>
          <w:kern w:val="0"/>
          <w:sz w:val="22"/>
        </w:rPr>
        <w:t>이 되었습니다. </w:t>
      </w:r>
    </w:p>
    <w:p w:rsidR="00CD2129" w:rsidRPr="00CD2129" w:rsidRDefault="00CD2129" w:rsidP="00CD2129">
      <w:pPr>
        <w:widowControl/>
        <w:shd w:val="clear" w:color="auto" w:fill="FEFEB8"/>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FEFEB8"/>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 ‘출국을 명하고, 강제로 쫓아낼’ 통제행위에서는 ‘쫓아내는 명령’, 즉 강제퇴거명령이 발령되는데 대한 구체적인 원칙과 기준이 모호한 것에 대한 지적이 이어졌습니다. 강제퇴거명령은 행정절차 위반 정도에 따라 자진출국부터 강제퇴거까지 단계적인 퇴거명령이 발령되어야 하지만, 강제퇴거사유에 해당하기만 하면 사실상 퇴거명령이 이루어집니다. 퇴거명령이 가진 고강도의 이익침해적 성격과 한 번 발령이 되면 되돌릴 수 없는 특성상 적법한 절차와 구제수단이 필요하지만, 우리는 현재 그러한 기준과 </w:t>
      </w:r>
      <w:proofErr w:type="spellStart"/>
      <w:r w:rsidRPr="00CD2129">
        <w:rPr>
          <w:rFonts w:ascii="돋움" w:eastAsia="돋움" w:hAnsi="돋움" w:cs="굴림" w:hint="eastAsia"/>
          <w:color w:val="1D2129"/>
          <w:kern w:val="0"/>
          <w:sz w:val="22"/>
        </w:rPr>
        <w:t>법절차</w:t>
      </w:r>
      <w:proofErr w:type="spellEnd"/>
      <w:r w:rsidRPr="00CD2129">
        <w:rPr>
          <w:rFonts w:ascii="돋움" w:eastAsia="돋움" w:hAnsi="돋움" w:cs="굴림" w:hint="eastAsia"/>
          <w:color w:val="1D2129"/>
          <w:kern w:val="0"/>
          <w:sz w:val="22"/>
        </w:rPr>
        <w:t xml:space="preserve"> 등을 갖추고 있지 않습니다. 이 변호사는 강제퇴거명령을 결정하는 면밀한 기준의 필요성과 동시에 다음과 같은 사정들을 고려할 것을 주장했습니다. </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tbl>
      <w:tblPr>
        <w:tblW w:w="0" w:type="auto"/>
        <w:tblInd w:w="75" w:type="dxa"/>
        <w:tblCellMar>
          <w:left w:w="0" w:type="dxa"/>
          <w:right w:w="0" w:type="dxa"/>
        </w:tblCellMar>
        <w:tblLook w:val="04A0" w:firstRow="1" w:lastRow="0" w:firstColumn="1" w:lastColumn="0" w:noHBand="0" w:noVBand="1"/>
      </w:tblPr>
      <w:tblGrid>
        <w:gridCol w:w="8931"/>
      </w:tblGrid>
      <w:tr w:rsidR="00CD2129" w:rsidRPr="00CD2129" w:rsidTr="00CD2129">
        <w:tc>
          <w:tcPr>
            <w:tcW w:w="9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ind w:left="492" w:hanging="425"/>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① </w:t>
            </w:r>
            <w:proofErr w:type="spellStart"/>
            <w:r w:rsidRPr="00CD2129">
              <w:rPr>
                <w:rFonts w:ascii="돋움" w:eastAsia="돋움" w:hAnsi="돋움" w:cs="굴림" w:hint="eastAsia"/>
                <w:color w:val="1D2129"/>
                <w:kern w:val="0"/>
                <w:sz w:val="22"/>
              </w:rPr>
              <w:t>심사시</w:t>
            </w:r>
            <w:proofErr w:type="spellEnd"/>
            <w:r w:rsidRPr="00CD2129">
              <w:rPr>
                <w:rFonts w:ascii="돋움" w:eastAsia="돋움" w:hAnsi="돋움" w:cs="굴림" w:hint="eastAsia"/>
                <w:color w:val="1D2129"/>
                <w:kern w:val="0"/>
                <w:sz w:val="22"/>
              </w:rPr>
              <w:t> 비례의 원칙을 고려해야 한다</w:t>
            </w:r>
            <w:r w:rsidRPr="00CD2129">
              <w:rPr>
                <w:rFonts w:ascii="돋움" w:eastAsia="돋움" w:hAnsi="돋움" w:cs="Helvetica" w:hint="eastAsia"/>
                <w:color w:val="1D2129"/>
                <w:kern w:val="0"/>
                <w:sz w:val="22"/>
              </w:rPr>
              <w:t>.</w:t>
            </w:r>
          </w:p>
          <w:p w:rsidR="00CD2129" w:rsidRPr="00CD2129" w:rsidRDefault="00CD2129" w:rsidP="00CD2129">
            <w:pPr>
              <w:widowControl/>
              <w:wordWrap/>
              <w:autoSpaceDE/>
              <w:autoSpaceDN/>
              <w:spacing w:after="0" w:line="240" w:lineRule="auto"/>
              <w:ind w:left="492" w:hanging="425"/>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② 대한민국에서 법률적 효력을 갖는 국제인권규약들을 고려해야 한다</w:t>
            </w:r>
            <w:r w:rsidRPr="00CD2129">
              <w:rPr>
                <w:rFonts w:ascii="돋움" w:eastAsia="돋움" w:hAnsi="돋움" w:cs="Helvetica" w:hint="eastAsia"/>
                <w:color w:val="1D2129"/>
                <w:kern w:val="0"/>
                <w:sz w:val="22"/>
              </w:rPr>
              <w:t>.</w:t>
            </w:r>
          </w:p>
          <w:p w:rsidR="00CD2129" w:rsidRPr="00CD2129" w:rsidRDefault="00CD2129" w:rsidP="00CD2129">
            <w:pPr>
              <w:widowControl/>
              <w:wordWrap/>
              <w:autoSpaceDE/>
              <w:autoSpaceDN/>
              <w:spacing w:after="0" w:line="240" w:lineRule="auto"/>
              <w:ind w:left="492" w:hanging="425"/>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③ 강제퇴거명령과 연계된 보호명령이 가져오는</w:t>
            </w:r>
            <w:r w:rsidRPr="00CD2129">
              <w:rPr>
                <w:rFonts w:ascii="돋움" w:eastAsia="돋움" w:hAnsi="돋움" w:cs="Helvetica" w:hint="eastAsia"/>
                <w:color w:val="1D2129"/>
                <w:kern w:val="0"/>
                <w:sz w:val="22"/>
              </w:rPr>
              <w:t> ‘</w:t>
            </w:r>
            <w:r w:rsidRPr="00CD2129">
              <w:rPr>
                <w:rFonts w:ascii="돋움" w:eastAsia="돋움" w:hAnsi="돋움" w:cs="굴림" w:hint="eastAsia"/>
                <w:color w:val="1D2129"/>
                <w:kern w:val="0"/>
                <w:sz w:val="22"/>
              </w:rPr>
              <w:t>장기구금’의 중대성을 </w:t>
            </w:r>
          </w:p>
          <w:p w:rsidR="00CD2129" w:rsidRPr="00CD2129" w:rsidRDefault="00CD2129" w:rsidP="00CD2129">
            <w:pPr>
              <w:widowControl/>
              <w:wordWrap/>
              <w:autoSpaceDE/>
              <w:autoSpaceDN/>
              <w:spacing w:after="0" w:line="240" w:lineRule="auto"/>
              <w:ind w:left="492" w:hanging="425"/>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함께 고려해야 한다</w:t>
            </w:r>
            <w:r w:rsidRPr="00CD2129">
              <w:rPr>
                <w:rFonts w:ascii="돋움" w:eastAsia="돋움" w:hAnsi="돋움" w:cs="Helvetica" w:hint="eastAsia"/>
                <w:color w:val="1D2129"/>
                <w:kern w:val="0"/>
                <w:sz w:val="22"/>
              </w:rPr>
              <w:t>.</w:t>
            </w:r>
          </w:p>
        </w:tc>
      </w:tr>
    </w:tbl>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w:t>
      </w:r>
    </w:p>
    <w:p w:rsidR="00CD2129" w:rsidRPr="00CD2129" w:rsidRDefault="00CD2129" w:rsidP="00CD2129">
      <w:pPr>
        <w:widowControl/>
        <w:shd w:val="clear" w:color="auto" w:fill="FEFEB8"/>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마지막으로 미등록 이주민을 ‘가두는’ 통제행위에 있어서, 이일 변호사는 실제 집행과정에서 ‘장기구금’을 야기시키는 현 법제도의 위헌성을 지적하며, 구금기간의 상한(上限)장치와 독립된 기관에 의한 구금의 필요성 심사의 필요성을 강조했습니다. 미등록 이주민의 신체적 자유를 제한하는 구금은 현재 우리나라에서 ‘자의적 구금(Arbitrary Detention)’의 형태로 이루어지고 있으며, 이에 대한 상한선을 정해놓은 법적 장치가 없습니다. 이러한 </w:t>
      </w:r>
      <w:r w:rsidRPr="00CD2129">
        <w:rPr>
          <w:rFonts w:ascii="돋움" w:eastAsia="돋움" w:hAnsi="돋움" w:cs="굴림" w:hint="eastAsia"/>
          <w:b/>
          <w:bCs/>
          <w:color w:val="1D2129"/>
          <w:kern w:val="0"/>
          <w:sz w:val="22"/>
        </w:rPr>
        <w:t>자의적인 구금은 뚜렷한 법적 기준보다는 행정당국의 재량에 의해서 그 시작과 종료가 결정되는 경우가 많기 때문에 미등록 이주민에 대한 구금이 인권을 침해할 소지를 갖고 있으며, 법익의 균형성을 보장하고 있지 않다고 말할 수 있습니다</w:t>
      </w:r>
      <w:r w:rsidRPr="00CD2129">
        <w:rPr>
          <w:rFonts w:ascii="돋움" w:eastAsia="돋움" w:hAnsi="돋움" w:cs="굴림" w:hint="eastAsia"/>
          <w:color w:val="1D2129"/>
          <w:kern w:val="0"/>
          <w:sz w:val="22"/>
        </w:rPr>
        <w:t>.</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wordWrap/>
        <w:autoSpaceDE/>
        <w:autoSpaceDN/>
        <w:spacing w:after="0" w:line="240" w:lineRule="auto"/>
        <w:ind w:firstLine="190"/>
        <w:jc w:val="center"/>
        <w:rPr>
          <w:rFonts w:ascii="맑은 고딕" w:eastAsia="맑은 고딕" w:hAnsi="맑은 고딕" w:cs="굴림" w:hint="eastAsia"/>
          <w:color w:val="000000"/>
          <w:kern w:val="0"/>
          <w:szCs w:val="20"/>
        </w:rPr>
      </w:pPr>
      <w:r w:rsidRPr="00CD2129">
        <w:rPr>
          <w:rFonts w:ascii="맑은 고딕" w:eastAsia="맑은 고딕" w:hAnsi="맑은 고딕" w:cs="굴림"/>
          <w:noProof/>
          <w:color w:val="000000"/>
          <w:kern w:val="0"/>
          <w:szCs w:val="20"/>
        </w:rPr>
        <w:drawing>
          <wp:inline distT="0" distB="0" distL="0" distR="0">
            <wp:extent cx="4762500" cy="2678430"/>
            <wp:effectExtent l="0" t="0" r="0" b="7620"/>
            <wp:docPr id="2" name="그림 2" descr="http://cfile7.uf.tistory.com/image/214D22485825323A17E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_entry_75948_" descr="http://cfile7.uf.tistory.com/image/214D22485825323A17EA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678430"/>
                    </a:xfrm>
                    <a:prstGeom prst="rect">
                      <a:avLst/>
                    </a:prstGeom>
                    <a:noFill/>
                    <a:ln>
                      <a:noFill/>
                    </a:ln>
                  </pic:spPr>
                </pic:pic>
              </a:graphicData>
            </a:graphic>
          </wp:inline>
        </w:drawing>
      </w:r>
    </w:p>
    <w:p w:rsidR="00CD2129" w:rsidRPr="00CD2129" w:rsidRDefault="00CD2129" w:rsidP="00CD2129">
      <w:pPr>
        <w:widowControl/>
        <w:wordWrap/>
        <w:autoSpaceDE/>
        <w:autoSpaceDN/>
        <w:spacing w:after="0" w:line="240" w:lineRule="auto"/>
        <w:ind w:firstLine="190"/>
        <w:jc w:val="center"/>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&lt;불법체류(통제)의 법적 쟁점에 대해 역설하고 있는 이일 변호사&gt;</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FEFEB8"/>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미등록 이주민에 대한 통제행위에서 나타난 공통적인 특징은 이러한 통제조치를 받은 미등록 이주민을 구제할 수 있는 마땅한 방안이 없다는 것입니다. </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tbl>
      <w:tblPr>
        <w:tblW w:w="0" w:type="auto"/>
        <w:tblInd w:w="75" w:type="dxa"/>
        <w:tblCellMar>
          <w:left w:w="0" w:type="dxa"/>
          <w:right w:w="0" w:type="dxa"/>
        </w:tblCellMar>
        <w:tblLook w:val="04A0" w:firstRow="1" w:lastRow="0" w:firstColumn="1" w:lastColumn="0" w:noHBand="0" w:noVBand="1"/>
      </w:tblPr>
      <w:tblGrid>
        <w:gridCol w:w="1267"/>
        <w:gridCol w:w="7664"/>
      </w:tblGrid>
      <w:tr w:rsidR="00CD2129" w:rsidRPr="00CD2129" w:rsidTr="00CD2129">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‘찾아내는’ 통제 행위</w:t>
            </w:r>
          </w:p>
        </w:tc>
        <w:tc>
          <w:tcPr>
            <w:tcW w:w="6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사업주의 동의 없는 사업장 수색, 강제 구인 등의 위반수사에 대한 증거 발견의 어려움과 구금의 신속한 개시로 인하여, 위법한 통제행위를 찾아내는 것이 쉽지 않고 반복됨</w:t>
            </w:r>
            <w:r w:rsidRPr="00CD2129">
              <w:rPr>
                <w:rFonts w:ascii="돋움" w:eastAsia="돋움" w:hAnsi="돋움" w:cs="Helvetica" w:hint="eastAsia"/>
                <w:color w:val="1D2129"/>
                <w:kern w:val="0"/>
                <w:sz w:val="22"/>
              </w:rPr>
              <w:t>.</w:t>
            </w:r>
          </w:p>
        </w:tc>
      </w:tr>
      <w:tr w:rsidR="00CD2129" w:rsidRPr="00CD2129" w:rsidTr="00CD2129">
        <w:tc>
          <w:tcPr>
            <w:tcW w:w="2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‘명하고, 쫓아내는’ 통제 행위</w:t>
            </w:r>
          </w:p>
        </w:tc>
        <w:tc>
          <w:tcPr>
            <w:tcW w:w="6440" w:type="dxa"/>
            <w:tcBorders>
              <w:top w:val="nil"/>
              <w:left w:val="nil"/>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무용한</w:t>
            </w:r>
            <w:r w:rsidRPr="00CD2129">
              <w:rPr>
                <w:rFonts w:ascii="돋움" w:eastAsia="돋움" w:hAnsi="돋움" w:cs="Helvetica" w:hint="eastAsia"/>
                <w:color w:val="1D2129"/>
                <w:kern w:val="0"/>
                <w:sz w:val="22"/>
              </w:rPr>
              <w:t> ‘</w:t>
            </w:r>
            <w:r w:rsidRPr="00CD2129">
              <w:rPr>
                <w:rFonts w:ascii="돋움" w:eastAsia="돋움" w:hAnsi="돋움" w:cs="굴림" w:hint="eastAsia"/>
                <w:color w:val="1D2129"/>
                <w:kern w:val="0"/>
                <w:sz w:val="22"/>
              </w:rPr>
              <w:t>강제퇴거에 대한 이의’와 강제퇴거집행 시기 예측의 어려움, 변호사를 접촉할 수 있는 권리가 보호받지 못함에 따라 미등록 이주민이 자신의 어려움과 사유를 소명할 수 있는 기회를 제공받지 못함</w:t>
            </w:r>
            <w:r w:rsidRPr="00CD2129">
              <w:rPr>
                <w:rFonts w:ascii="돋움" w:eastAsia="돋움" w:hAnsi="돋움" w:cs="Helvetica" w:hint="eastAsia"/>
                <w:color w:val="1D2129"/>
                <w:kern w:val="0"/>
                <w:sz w:val="22"/>
              </w:rPr>
              <w:t>.</w:t>
            </w:r>
          </w:p>
        </w:tc>
      </w:tr>
      <w:tr w:rsidR="00CD2129" w:rsidRPr="00CD2129" w:rsidTr="00CD2129">
        <w:tc>
          <w:tcPr>
            <w:tcW w:w="27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‘가두는’ 통제 행위</w:t>
            </w:r>
          </w:p>
        </w:tc>
        <w:tc>
          <w:tcPr>
            <w:tcW w:w="6440" w:type="dxa"/>
            <w:tcBorders>
              <w:top w:val="nil"/>
              <w:left w:val="nil"/>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실효적인 구제절차의 부재</w:t>
            </w:r>
            <w:r w:rsidRPr="00CD2129">
              <w:rPr>
                <w:rFonts w:ascii="돋움" w:eastAsia="돋움" w:hAnsi="돋움" w:cs="Helvetica" w:hint="eastAsia"/>
                <w:color w:val="1D2129"/>
                <w:kern w:val="0"/>
                <w:sz w:val="22"/>
              </w:rPr>
              <w:t>.</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① </w:t>
            </w:r>
            <w:proofErr w:type="spellStart"/>
            <w:r w:rsidRPr="00CD2129">
              <w:rPr>
                <w:rFonts w:ascii="돋움" w:eastAsia="돋움" w:hAnsi="돋움" w:cs="굴림" w:hint="eastAsia"/>
                <w:color w:val="1D2129"/>
                <w:kern w:val="0"/>
                <w:sz w:val="22"/>
              </w:rPr>
              <w:t>보호일시해제는</w:t>
            </w:r>
            <w:proofErr w:type="spellEnd"/>
            <w:r w:rsidRPr="00CD2129">
              <w:rPr>
                <w:rFonts w:ascii="돋움" w:eastAsia="돋움" w:hAnsi="돋움" w:cs="굴림" w:hint="eastAsia"/>
                <w:color w:val="1D2129"/>
                <w:kern w:val="0"/>
                <w:sz w:val="22"/>
              </w:rPr>
              <w:t> 잠정적인</w:t>
            </w:r>
            <w:r w:rsidRPr="00CD2129">
              <w:rPr>
                <w:rFonts w:ascii="돋움" w:eastAsia="돋움" w:hAnsi="돋움" w:cs="Helvetica" w:hint="eastAsia"/>
                <w:color w:val="1D2129"/>
                <w:kern w:val="0"/>
                <w:sz w:val="22"/>
              </w:rPr>
              <w:t> ‘</w:t>
            </w:r>
            <w:r w:rsidRPr="00CD2129">
              <w:rPr>
                <w:rFonts w:ascii="돋움" w:eastAsia="돋움" w:hAnsi="돋움" w:cs="굴림" w:hint="eastAsia"/>
                <w:color w:val="1D2129"/>
                <w:kern w:val="0"/>
                <w:sz w:val="22"/>
              </w:rPr>
              <w:t>구금의 정지’를 의미할 뿐, 근본적인 해결책이 아니며, 행정청의 재량이 </w:t>
            </w:r>
            <w:proofErr w:type="spellStart"/>
            <w:r w:rsidRPr="00CD2129">
              <w:rPr>
                <w:rFonts w:ascii="돋움" w:eastAsia="돋움" w:hAnsi="돋움" w:cs="굴림" w:hint="eastAsia"/>
                <w:color w:val="1D2129"/>
                <w:kern w:val="0"/>
                <w:sz w:val="22"/>
              </w:rPr>
              <w:t>일시해제</w:t>
            </w:r>
            <w:proofErr w:type="spellEnd"/>
            <w:r w:rsidRPr="00CD2129">
              <w:rPr>
                <w:rFonts w:ascii="돋움" w:eastAsia="돋움" w:hAnsi="돋움" w:cs="굴림" w:hint="eastAsia"/>
                <w:color w:val="1D2129"/>
                <w:kern w:val="0"/>
                <w:sz w:val="22"/>
              </w:rPr>
              <w:t> 여부에 가장 많은 영향을 끼침</w:t>
            </w:r>
            <w:r w:rsidRPr="00CD2129">
              <w:rPr>
                <w:rFonts w:ascii="돋움" w:eastAsia="돋움" w:hAnsi="돋움" w:cs="Helvetica" w:hint="eastAsia"/>
                <w:color w:val="1D2129"/>
                <w:kern w:val="0"/>
                <w:sz w:val="22"/>
              </w:rPr>
              <w:t>.</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② 3개월마다 득해야 하는 법무부장관의 사전승인절차는</w:t>
            </w:r>
            <w:r w:rsidRPr="00CD2129">
              <w:rPr>
                <w:rFonts w:ascii="돋움" w:eastAsia="돋움" w:hAnsi="돋움" w:cs="Helvetica" w:hint="eastAsia"/>
                <w:color w:val="1D2129"/>
                <w:kern w:val="0"/>
                <w:sz w:val="22"/>
              </w:rPr>
              <w:t> ‘</w:t>
            </w:r>
            <w:proofErr w:type="spellStart"/>
            <w:r w:rsidRPr="00CD2129">
              <w:rPr>
                <w:rFonts w:ascii="돋움" w:eastAsia="돋움" w:hAnsi="돋움" w:cs="굴림" w:hint="eastAsia"/>
                <w:color w:val="1D2129"/>
                <w:kern w:val="0"/>
                <w:sz w:val="22"/>
              </w:rPr>
              <w:t>구금계속의</w:t>
            </w:r>
            <w:proofErr w:type="spellEnd"/>
            <w:r w:rsidRPr="00CD2129">
              <w:rPr>
                <w:rFonts w:ascii="돋움" w:eastAsia="돋움" w:hAnsi="돋움" w:cs="굴림" w:hint="eastAsia"/>
                <w:color w:val="1D2129"/>
                <w:kern w:val="0"/>
                <w:sz w:val="22"/>
              </w:rPr>
              <w:t> 필요성’이 아닌</w:t>
            </w:r>
            <w:r w:rsidRPr="00CD2129">
              <w:rPr>
                <w:rFonts w:ascii="돋움" w:eastAsia="돋움" w:hAnsi="돋움" w:cs="Helvetica" w:hint="eastAsia"/>
                <w:color w:val="1D2129"/>
                <w:kern w:val="0"/>
                <w:sz w:val="22"/>
              </w:rPr>
              <w:t> ‘</w:t>
            </w:r>
            <w:r w:rsidRPr="00CD2129">
              <w:rPr>
                <w:rFonts w:ascii="돋움" w:eastAsia="돋움" w:hAnsi="돋움" w:cs="굴림" w:hint="eastAsia"/>
                <w:color w:val="1D2129"/>
                <w:kern w:val="0"/>
                <w:sz w:val="22"/>
              </w:rPr>
              <w:t>강제퇴거집행을 할 수 없어서 구금이 부득이한 사유’만 있으면 허가되는 형태로서 실효성이 없음</w:t>
            </w:r>
            <w:r w:rsidRPr="00CD2129">
              <w:rPr>
                <w:rFonts w:ascii="돋움" w:eastAsia="돋움" w:hAnsi="돋움" w:cs="Helvetica" w:hint="eastAsia"/>
                <w:color w:val="1D2129"/>
                <w:kern w:val="0"/>
                <w:sz w:val="22"/>
              </w:rPr>
              <w:t>.</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③ 구금의 위법 또는 부당함을 주장할 수 있는</w:t>
            </w:r>
            <w:r w:rsidRPr="00CD2129">
              <w:rPr>
                <w:rFonts w:ascii="돋움" w:eastAsia="돋움" w:hAnsi="돋움" w:cs="Helvetica" w:hint="eastAsia"/>
                <w:color w:val="1D2129"/>
                <w:kern w:val="0"/>
                <w:sz w:val="22"/>
              </w:rPr>
              <w:t> ‘</w:t>
            </w:r>
            <w:r w:rsidRPr="00CD2129">
              <w:rPr>
                <w:rFonts w:ascii="돋움" w:eastAsia="돋움" w:hAnsi="돋움" w:cs="굴림" w:hint="eastAsia"/>
                <w:color w:val="1D2129"/>
                <w:kern w:val="0"/>
                <w:sz w:val="22"/>
              </w:rPr>
              <w:t>보호에 대한 이의’가 인정되어 보호가 해제 된 사례가 없음</w:t>
            </w:r>
            <w:r w:rsidRPr="00CD2129">
              <w:rPr>
                <w:rFonts w:ascii="돋움" w:eastAsia="돋움" w:hAnsi="돋움" w:cs="Helvetica" w:hint="eastAsia"/>
                <w:color w:val="1D2129"/>
                <w:kern w:val="0"/>
                <w:sz w:val="22"/>
              </w:rPr>
              <w:t>.</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④ 강제퇴거명령 및 보호명령의 취소의 소는 제소기간이 지나면 사실상 제기하는 것이 어려움</w:t>
            </w:r>
            <w:r w:rsidRPr="00CD2129">
              <w:rPr>
                <w:rFonts w:ascii="돋움" w:eastAsia="돋움" w:hAnsi="돋움" w:cs="Helvetica" w:hint="eastAsia"/>
                <w:color w:val="1D2129"/>
                <w:kern w:val="0"/>
                <w:sz w:val="22"/>
              </w:rPr>
              <w:t>.</w:t>
            </w:r>
          </w:p>
        </w:tc>
      </w:tr>
    </w:tbl>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FEFEB8"/>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이를 통해 이 변호사는 현행 제도들이 외국인의 기본권이 국민의 기본권보다 </w:t>
      </w:r>
      <w:proofErr w:type="spellStart"/>
      <w:r w:rsidRPr="00CD2129">
        <w:rPr>
          <w:rFonts w:ascii="돋움" w:eastAsia="돋움" w:hAnsi="돋움" w:cs="굴림" w:hint="eastAsia"/>
          <w:color w:val="1D2129"/>
          <w:kern w:val="0"/>
          <w:sz w:val="22"/>
        </w:rPr>
        <w:t>후차적이고</w:t>
      </w:r>
      <w:proofErr w:type="spellEnd"/>
      <w:r w:rsidRPr="00CD2129">
        <w:rPr>
          <w:rFonts w:ascii="돋움" w:eastAsia="돋움" w:hAnsi="돋움" w:cs="굴림" w:hint="eastAsia"/>
          <w:color w:val="1D2129"/>
          <w:kern w:val="0"/>
          <w:sz w:val="22"/>
        </w:rPr>
        <w:t>, ‘불법’이라는 낙인을 찍음으로써 외국인의 기본권 침해를 정당화할 수 있다는 전제와 출입국관리를 담당하는 행정당국의 광범위한 재량을 기반으로 정립된 것이라고 비판했습니다. 한편, 최근 주목할 만한 경향은 이러한 행정당국의 광범위한 재량이 조금씩 제한되어 가고 있다는 것입니다. 압수, 수색, 체포 그리고 구속 등 외국인의 권리를 침해할 수 있는 조치는 법의 개입을 피하고, 재량에 의해 실행되는 성향이 강했지만, </w:t>
      </w:r>
      <w:r w:rsidRPr="00CD2129">
        <w:rPr>
          <w:rFonts w:ascii="돋움" w:eastAsia="돋움" w:hAnsi="돋움" w:cs="굴림" w:hint="eastAsia"/>
          <w:b/>
          <w:bCs/>
          <w:color w:val="1D2129"/>
          <w:kern w:val="0"/>
          <w:sz w:val="22"/>
        </w:rPr>
        <w:t xml:space="preserve">점차 법의 </w:t>
      </w:r>
      <w:proofErr w:type="spellStart"/>
      <w:r w:rsidRPr="00CD2129">
        <w:rPr>
          <w:rFonts w:ascii="돋움" w:eastAsia="돋움" w:hAnsi="돋움" w:cs="굴림" w:hint="eastAsia"/>
          <w:b/>
          <w:bCs/>
          <w:color w:val="1D2129"/>
          <w:kern w:val="0"/>
          <w:sz w:val="22"/>
        </w:rPr>
        <w:t>처분성이</w:t>
      </w:r>
      <w:proofErr w:type="spellEnd"/>
      <w:r w:rsidRPr="00CD2129">
        <w:rPr>
          <w:rFonts w:ascii="돋움" w:eastAsia="돋움" w:hAnsi="돋움" w:cs="굴림" w:hint="eastAsia"/>
          <w:b/>
          <w:bCs/>
          <w:color w:val="1D2129"/>
          <w:kern w:val="0"/>
          <w:sz w:val="22"/>
        </w:rPr>
        <w:t xml:space="preserve"> 인정되어가는 추세입니다. 또한, 국제인권규범이 부과하는 특수한 제한이 실제 사법부의 결정에서 고려되고 있으며, ‘외국인의 출입국, 난민인정, 귀화’에는 적용되지 않는 것으로 해석이 되어왔던 행정절차법이 출입국관리 절차에서 적용되는 사례가 늘고 있고, 입법재량과 행정재량의 구별을 통해 이러한 테제에 의문을 제기하는 경우가 있었습니다</w:t>
      </w:r>
      <w:r w:rsidRPr="00CD2129">
        <w:rPr>
          <w:rFonts w:ascii="돋움" w:eastAsia="돋움" w:hAnsi="돋움" w:cs="굴림" w:hint="eastAsia"/>
          <w:color w:val="1D2129"/>
          <w:kern w:val="0"/>
          <w:sz w:val="22"/>
        </w:rPr>
        <w:t>. </w:t>
      </w:r>
    </w:p>
    <w:p w:rsidR="00CD2129" w:rsidRPr="00CD2129" w:rsidRDefault="00CD2129" w:rsidP="00CD2129">
      <w:pPr>
        <w:widowControl/>
        <w:shd w:val="clear" w:color="auto" w:fill="FEFEB8"/>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FEFEB8"/>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이일 변호사의 발표에 이어서 이희정 고려대학교 교수는 이 변호사가 주장한 정책결정자와 인권옹호자의 관점이 대립하여 존재하는 것에 대하여 동의하면서, 더 다양한 관점에서 불법체류를 바라보는 것 또한 가능하다고 주장했습니다. 다양한 관점이란 이 변호사가 제시한 미시적, 규범적 관점에서 더해진 거시적, 장기적, 사실적, 역사적 관점 등이 될 수 있습니다. 이 교수는 또한 오늘날 불법체류는 영토국가, 국민국가라는 정치공동체 제도의 합의를 전제로 하고 있고, 세계화 시대에서 이러한 정치공동체 제도가 어느 정도로 유효한지 생각해 보는 것이 필요하다고 말했습니다. 이와 더불어 현대사회에서 다양한 요인에 의해 이주하는 사람들의 의지와 본능적인 힘에 어떻게 대처해야 하는지를 생각해 보는 것을 강조하는 것은 이후에 소개될 Soft Law의 개념과 유사하다고 할 수 있습니다. 또한 이희정 교수는 정책결정자의 관점과 인권옹호자의 관점이 대립하기도 하지만, 이러한 분석과 더불어 서로의 관점이 가진 부분을 긍정적으로 평가하여, 큰 틀 안에서 통합된 관점에서의 법을 집행하는 것이 중요할 것이라고 주장했습니다. </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7FDB5"/>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이어서 제 3주제 발표 시간에는 </w:t>
      </w:r>
      <w:proofErr w:type="spellStart"/>
      <w:r w:rsidRPr="00CD2129">
        <w:rPr>
          <w:rFonts w:ascii="돋움" w:eastAsia="돋움" w:hAnsi="돋움" w:cs="굴림" w:hint="eastAsia"/>
          <w:color w:val="1D2129"/>
          <w:kern w:val="0"/>
          <w:sz w:val="22"/>
        </w:rPr>
        <w:t>차규근</w:t>
      </w:r>
      <w:proofErr w:type="spellEnd"/>
      <w:r w:rsidRPr="00CD2129">
        <w:rPr>
          <w:rFonts w:ascii="돋움" w:eastAsia="돋움" w:hAnsi="돋움" w:cs="굴림" w:hint="eastAsia"/>
          <w:color w:val="1D2129"/>
          <w:kern w:val="0"/>
          <w:sz w:val="22"/>
        </w:rPr>
        <w:t xml:space="preserve"> 변호사가 ‘불법체류 통제행정에의 경제적 접근’이라는 제목을 통해 경제적 측면에서의 ‘불법체류에 대한 통제’에 대해 다루었습니다. 차 변호사의 주장은 출입국사범에 대한 기존의 제재수단에서 벗어나 과감하고 탄력적인 경제적 제재수단의 도입이었습니다. 현행 출입국관리법에도 일부 다른 법에서와 같이 범죄에 해당하는 벌금부과를 명하는 ‘통고제도’가 있습니다. 통고제도에서의 범칙금은 </w:t>
      </w:r>
      <w:proofErr w:type="spellStart"/>
      <w:r w:rsidRPr="00CD2129">
        <w:rPr>
          <w:rFonts w:ascii="돋움" w:eastAsia="돋움" w:hAnsi="돋움" w:cs="굴림" w:hint="eastAsia"/>
          <w:color w:val="1D2129"/>
          <w:kern w:val="0"/>
          <w:sz w:val="22"/>
        </w:rPr>
        <w:t>법무부령에</w:t>
      </w:r>
      <w:proofErr w:type="spellEnd"/>
      <w:r w:rsidRPr="00CD2129">
        <w:rPr>
          <w:rFonts w:ascii="돋움" w:eastAsia="돋움" w:hAnsi="돋움" w:cs="굴림" w:hint="eastAsia"/>
          <w:color w:val="1D2129"/>
          <w:kern w:val="0"/>
          <w:sz w:val="22"/>
        </w:rPr>
        <w:t xml:space="preserve"> 의해 정해진 양정기준에 따라 처분에 종류를 달리할 수 있으며, 이러한 통고제도의 목적은 경제적 이득의 환수입니다. 출입국사범을 대상으로 통고제도를 적용해야 할 경우, 대부분 외국인을 피의자로 하거나 참고인이 되기 때문에 외국인의 인권을 보호하고, 수사과정에서 언어와 문화의 장벽을 극복할 수 있는 전문 사무소장이 필요합니다. 차 변호사는 이러한 </w:t>
      </w:r>
      <w:r w:rsidRPr="00CD2129">
        <w:rPr>
          <w:rFonts w:ascii="돋움" w:eastAsia="돋움" w:hAnsi="돋움" w:cs="굴림" w:hint="eastAsia"/>
          <w:b/>
          <w:bCs/>
          <w:color w:val="1D2129"/>
          <w:kern w:val="0"/>
          <w:sz w:val="22"/>
        </w:rPr>
        <w:t xml:space="preserve">통고처분 제도를 출입국행정에 </w:t>
      </w:r>
      <w:proofErr w:type="spellStart"/>
      <w:r w:rsidRPr="00CD2129">
        <w:rPr>
          <w:rFonts w:ascii="돋움" w:eastAsia="돋움" w:hAnsi="돋움" w:cs="굴림" w:hint="eastAsia"/>
          <w:b/>
          <w:bCs/>
          <w:color w:val="1D2129"/>
          <w:kern w:val="0"/>
          <w:sz w:val="22"/>
        </w:rPr>
        <w:t>확장적용하는</w:t>
      </w:r>
      <w:proofErr w:type="spellEnd"/>
      <w:r w:rsidRPr="00CD2129">
        <w:rPr>
          <w:rFonts w:ascii="돋움" w:eastAsia="돋움" w:hAnsi="돋움" w:cs="굴림" w:hint="eastAsia"/>
          <w:b/>
          <w:bCs/>
          <w:color w:val="1D2129"/>
          <w:kern w:val="0"/>
          <w:sz w:val="22"/>
        </w:rPr>
        <w:t xml:space="preserve"> 방안</w:t>
      </w:r>
      <w:r w:rsidRPr="00CD2129">
        <w:rPr>
          <w:rFonts w:ascii="돋움" w:eastAsia="돋움" w:hAnsi="돋움" w:cs="굴림" w:hint="eastAsia"/>
          <w:color w:val="1D2129"/>
          <w:kern w:val="0"/>
          <w:sz w:val="22"/>
        </w:rPr>
        <w:t>에 대해 생각해 보았습니다.</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wordWrap/>
        <w:autoSpaceDE/>
        <w:autoSpaceDN/>
        <w:spacing w:after="0" w:line="240" w:lineRule="auto"/>
        <w:ind w:firstLine="190"/>
        <w:jc w:val="center"/>
        <w:rPr>
          <w:rFonts w:ascii="맑은 고딕" w:eastAsia="맑은 고딕" w:hAnsi="맑은 고딕" w:cs="굴림" w:hint="eastAsia"/>
          <w:color w:val="000000"/>
          <w:kern w:val="0"/>
          <w:szCs w:val="20"/>
        </w:rPr>
      </w:pPr>
      <w:r w:rsidRPr="00CD2129">
        <w:rPr>
          <w:rFonts w:ascii="맑은 고딕" w:eastAsia="맑은 고딕" w:hAnsi="맑은 고딕" w:cs="굴림"/>
          <w:noProof/>
          <w:color w:val="000000"/>
          <w:kern w:val="0"/>
          <w:szCs w:val="20"/>
        </w:rPr>
        <w:drawing>
          <wp:inline distT="0" distB="0" distL="0" distR="0">
            <wp:extent cx="4762500" cy="2678430"/>
            <wp:effectExtent l="0" t="0" r="0" b="7620"/>
            <wp:docPr id="1" name="그림 1" descr="http://cfile28.uf.tistory.com/image/274A574E5825325515A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_entry_93686_" descr="http://cfile28.uf.tistory.com/image/274A574E5825325515A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678430"/>
                    </a:xfrm>
                    <a:prstGeom prst="rect">
                      <a:avLst/>
                    </a:prstGeom>
                    <a:noFill/>
                    <a:ln>
                      <a:noFill/>
                    </a:ln>
                  </pic:spPr>
                </pic:pic>
              </a:graphicData>
            </a:graphic>
          </wp:inline>
        </w:drawing>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&lt;왼쪽부터 제 3주제 </w:t>
      </w:r>
      <w:proofErr w:type="spellStart"/>
      <w:r w:rsidRPr="00CD2129">
        <w:rPr>
          <w:rFonts w:ascii="돋움" w:eastAsia="돋움" w:hAnsi="돋움" w:cs="굴림" w:hint="eastAsia"/>
          <w:color w:val="1D2129"/>
          <w:kern w:val="0"/>
          <w:sz w:val="22"/>
        </w:rPr>
        <w:t>토론문</w:t>
      </w:r>
      <w:proofErr w:type="spellEnd"/>
      <w:r w:rsidRPr="00CD2129">
        <w:rPr>
          <w:rFonts w:ascii="돋움" w:eastAsia="돋움" w:hAnsi="돋움" w:cs="굴림" w:hint="eastAsia"/>
          <w:color w:val="1D2129"/>
          <w:kern w:val="0"/>
          <w:sz w:val="22"/>
        </w:rPr>
        <w:t xml:space="preserve"> 발표자 이규용 교수, 사회자 그리고 </w:t>
      </w:r>
      <w:proofErr w:type="spellStart"/>
      <w:r w:rsidRPr="00CD2129">
        <w:rPr>
          <w:rFonts w:ascii="돋움" w:eastAsia="돋움" w:hAnsi="돋움" w:cs="굴림" w:hint="eastAsia"/>
          <w:color w:val="1D2129"/>
          <w:kern w:val="0"/>
          <w:sz w:val="22"/>
        </w:rPr>
        <w:t>차규근</w:t>
      </w:r>
      <w:proofErr w:type="spellEnd"/>
      <w:r w:rsidRPr="00CD2129">
        <w:rPr>
          <w:rFonts w:ascii="돋움" w:eastAsia="돋움" w:hAnsi="돋움" w:cs="굴림" w:hint="eastAsia"/>
          <w:color w:val="1D2129"/>
          <w:kern w:val="0"/>
          <w:sz w:val="22"/>
        </w:rPr>
        <w:t xml:space="preserve"> 변   호사&gt;</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w:t>
      </w:r>
    </w:p>
    <w:p w:rsidR="00CD2129" w:rsidRPr="00CD2129" w:rsidRDefault="00CD2129" w:rsidP="00CD2129">
      <w:pPr>
        <w:widowControl/>
        <w:shd w:val="clear" w:color="auto" w:fill="E7FDB5"/>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지금까지 우리가 언급해온 불법체류자, 즉, 미등록 이주민은 일반적으로 </w:t>
      </w:r>
      <w:proofErr w:type="spellStart"/>
      <w:r w:rsidRPr="00CD2129">
        <w:rPr>
          <w:rFonts w:ascii="돋움" w:eastAsia="돋움" w:hAnsi="돋움" w:cs="굴림" w:hint="eastAsia"/>
          <w:color w:val="1D2129"/>
          <w:kern w:val="0"/>
          <w:sz w:val="22"/>
        </w:rPr>
        <w:t>해당법에</w:t>
      </w:r>
      <w:proofErr w:type="spellEnd"/>
      <w:r w:rsidRPr="00CD2129">
        <w:rPr>
          <w:rFonts w:ascii="돋움" w:eastAsia="돋움" w:hAnsi="돋움" w:cs="굴림" w:hint="eastAsia"/>
          <w:color w:val="1D2129"/>
          <w:kern w:val="0"/>
          <w:sz w:val="22"/>
        </w:rPr>
        <w:t xml:space="preserve"> 따라 강제퇴거조치를 받게 됩니다. 하지만 이러한 미등록 이주민에게 일률적으로 강제퇴거조치를 적용하기에 앞서 통고처분을 확장적용 하거나 덜 </w:t>
      </w:r>
      <w:proofErr w:type="spellStart"/>
      <w:r w:rsidRPr="00CD2129">
        <w:rPr>
          <w:rFonts w:ascii="돋움" w:eastAsia="돋움" w:hAnsi="돋움" w:cs="굴림" w:hint="eastAsia"/>
          <w:color w:val="1D2129"/>
          <w:kern w:val="0"/>
          <w:sz w:val="22"/>
        </w:rPr>
        <w:t>침익적인</w:t>
      </w:r>
      <w:proofErr w:type="spellEnd"/>
      <w:r w:rsidRPr="00CD2129">
        <w:rPr>
          <w:rFonts w:ascii="돋움" w:eastAsia="돋움" w:hAnsi="돋움" w:cs="굴림" w:hint="eastAsia"/>
          <w:color w:val="1D2129"/>
          <w:kern w:val="0"/>
          <w:sz w:val="22"/>
        </w:rPr>
        <w:t xml:space="preserve"> 방법으로 접근할 수 있는 방법은 없을까요? 차 변호사는 미등록 이주민이 </w:t>
      </w:r>
      <w:proofErr w:type="spellStart"/>
      <w:r w:rsidRPr="00CD2129">
        <w:rPr>
          <w:rFonts w:ascii="돋움" w:eastAsia="돋움" w:hAnsi="돋움" w:cs="굴림" w:hint="eastAsia"/>
          <w:color w:val="1D2129"/>
          <w:kern w:val="0"/>
          <w:sz w:val="22"/>
        </w:rPr>
        <w:t>자진신고하는</w:t>
      </w:r>
      <w:proofErr w:type="spellEnd"/>
      <w:r w:rsidRPr="00CD2129">
        <w:rPr>
          <w:rFonts w:ascii="돋움" w:eastAsia="돋움" w:hAnsi="돋움" w:cs="굴림" w:hint="eastAsia"/>
          <w:color w:val="1D2129"/>
          <w:kern w:val="0"/>
          <w:sz w:val="22"/>
        </w:rPr>
        <w:t xml:space="preserve"> 경우, 미등록 체류의 경위와 체류기간 동안 체류자가 어떻게 체류를 해왔는지 (성실성 또는 업주 등의 탄원 여부)등을 조사하여 통고처분을 달리 하는 방안을 제안했습니다. 이를 통해 강제퇴거대상자로 분류된 미등록 체류자가 5년간의 입국금지 처분을 받게 하는 것 대신, 고액의 통고처분을 하여 출입국행정에 필요한 재원으로 활용할 수 있을 것 입니다. 이러한 통고처분제도의 확장은 벌금을 지불함으로써 입국금지 대상의 체류를 합법화하고, 이는 법질서확립에 부합하지 않을 수 있다는 반론에 직면할 수 있습니다. 하지만 출입국과 관련된 법의 적용은 해당국가와의 외교적 관계, 인권, 노동시장에 미치는 영향, 인구정책 등을 고려하여 신중하게 적용해야 함은 물론이고, 출입국관리행정의 기본적인 목적은 국경과 체류외국인에 대한 적절한 관리이므로 충분한 접근이 필요합니다. 또한 지금까지의 방식을 통한 단속으로는 미등록 이주민의 규모를 감소시킬 수 없기 때문에 보다 현실적인 접근방법이 필요합니다. 이와 관련하여 차 변호사는</w:t>
      </w:r>
      <w:r w:rsidRPr="00CD2129">
        <w:rPr>
          <w:rFonts w:ascii="돋움" w:eastAsia="돋움" w:hAnsi="돋움" w:cs="굴림" w:hint="eastAsia"/>
          <w:b/>
          <w:bCs/>
          <w:color w:val="1D2129"/>
          <w:kern w:val="0"/>
          <w:sz w:val="22"/>
        </w:rPr>
        <w:t> 강제퇴거사유의 경중을 따져 무조건적인 출국명령이 아닌 체류자격의 강등과 같은 단계적인 조치를 통해 법질서확립이라는 명분과 이주민의 지속적인 체류라는 실리를 동시에 얻을 수 있을 것이라고 주장</w:t>
      </w:r>
      <w:r w:rsidRPr="00CD2129">
        <w:rPr>
          <w:rFonts w:ascii="돋움" w:eastAsia="돋움" w:hAnsi="돋움" w:cs="굴림" w:hint="eastAsia"/>
          <w:color w:val="1D2129"/>
          <w:kern w:val="0"/>
          <w:sz w:val="22"/>
        </w:rPr>
        <w:t xml:space="preserve">했습니다. 차 변호사는 이러한 제안을 </w:t>
      </w:r>
      <w:proofErr w:type="spellStart"/>
      <w:r w:rsidRPr="00CD2129">
        <w:rPr>
          <w:rFonts w:ascii="돋움" w:eastAsia="돋움" w:hAnsi="돋움" w:cs="굴림" w:hint="eastAsia"/>
          <w:color w:val="1D2129"/>
          <w:kern w:val="0"/>
          <w:sz w:val="22"/>
        </w:rPr>
        <w:t>여러가지</w:t>
      </w:r>
      <w:proofErr w:type="spellEnd"/>
      <w:r w:rsidRPr="00CD2129">
        <w:rPr>
          <w:rFonts w:ascii="돋움" w:eastAsia="돋움" w:hAnsi="돋움" w:cs="굴림" w:hint="eastAsia"/>
          <w:color w:val="1D2129"/>
          <w:kern w:val="0"/>
          <w:sz w:val="22"/>
        </w:rPr>
        <w:t xml:space="preserve"> 실제 사례에 적용시켜 보았습니다. 올해 법무부가 시행한 ‘불법체류 외국인 자진신고제도’, ‘동포고충해소프로그램’ 등이 불법체류기간과 양태, 고용주와의 관계 등에 따라 범칙금 납부 적용 범위를 세분화하고, 범칙금 대상자를 세분화하거나, ‘출국 후 </w:t>
      </w:r>
      <w:proofErr w:type="spellStart"/>
      <w:r w:rsidRPr="00CD2129">
        <w:rPr>
          <w:rFonts w:ascii="돋움" w:eastAsia="돋움" w:hAnsi="돋움" w:cs="굴림" w:hint="eastAsia"/>
          <w:color w:val="1D2129"/>
          <w:kern w:val="0"/>
          <w:sz w:val="22"/>
        </w:rPr>
        <w:t>재입국</w:t>
      </w:r>
      <w:proofErr w:type="spellEnd"/>
      <w:r w:rsidRPr="00CD2129">
        <w:rPr>
          <w:rFonts w:ascii="돋움" w:eastAsia="돋움" w:hAnsi="돋움" w:cs="굴림" w:hint="eastAsia"/>
          <w:color w:val="1D2129"/>
          <w:kern w:val="0"/>
          <w:sz w:val="22"/>
        </w:rPr>
        <w:t xml:space="preserve"> 보장’, ‘입국규제 완화 내지 유예’ 등의 다양한 정책방법과 함께 범칙금을 부과 하는 것이 한국과 이주민의 실리를 모두 확보할 수 있는 방법이 될 수 있을 것이라고 주장했습니다.</w:t>
      </w:r>
    </w:p>
    <w:p w:rsidR="00CD2129" w:rsidRPr="00CD2129" w:rsidRDefault="00CD2129" w:rsidP="00CD2129">
      <w:pPr>
        <w:widowControl/>
        <w:shd w:val="clear" w:color="auto" w:fill="E7FDB5"/>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7FDB5"/>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 차 변호사는 이러한 제안과 함께 2016년 4월에 열린 한국행정법학회 연합학술대회에서의 이광윤 성균관대학교 교수의 발제를 인용하면서 발표를 마무리했습니다. 이광윤 교수에 의하면, 전통적인 행정법과 세계화는 충돌할 수 밖에 없습니다. 왜냐하면, 행정법이 국가 내부의 행정 조직과 작용을 </w:t>
      </w:r>
      <w:proofErr w:type="spellStart"/>
      <w:r w:rsidRPr="00CD2129">
        <w:rPr>
          <w:rFonts w:ascii="돋움" w:eastAsia="돋움" w:hAnsi="돋움" w:cs="굴림" w:hint="eastAsia"/>
          <w:color w:val="1D2129"/>
          <w:kern w:val="0"/>
          <w:sz w:val="22"/>
        </w:rPr>
        <w:t>규율하는</w:t>
      </w:r>
      <w:proofErr w:type="spellEnd"/>
      <w:r w:rsidRPr="00CD2129">
        <w:rPr>
          <w:rFonts w:ascii="돋움" w:eastAsia="돋움" w:hAnsi="돋움" w:cs="굴림" w:hint="eastAsia"/>
          <w:color w:val="1D2129"/>
          <w:kern w:val="0"/>
          <w:sz w:val="22"/>
        </w:rPr>
        <w:t xml:space="preserve"> 공법규범의 총체를 가리킨다면, 세계화는 영토 또는 주권과 관련된 조직과 요소 외에도 영토 밖의 모든 기관들의 활동현상을 말하는 것이기 때문입니다. 또한 기존의 행정은 정치적 정당성을 확보하면, 정당성을 획득한 정치권력에 의해 복속되어왔지만, 오늘날에는 이러한 정당성이 시민사회로부터 불신을 받고 있고, 다수결의 원칙에 기반한 대의민주주의를 단순히 받아들이는 것이 아닌, 소수의 의견 또한 존중하고 존중 받기를 원합니다. 따라서 앞서 설명한 경제적 제재방안은 새로운 형태의 행정규범인 Soft Law라고 설명할 수 있고, 이러한 </w:t>
      </w:r>
      <w:r w:rsidRPr="00CD2129">
        <w:rPr>
          <w:rFonts w:ascii="돋움" w:eastAsia="돋움" w:hAnsi="돋움" w:cs="굴림" w:hint="eastAsia"/>
          <w:b/>
          <w:bCs/>
          <w:color w:val="1D2129"/>
          <w:kern w:val="0"/>
          <w:sz w:val="22"/>
        </w:rPr>
        <w:t>Soft Law는 세계화 시대에서 요구하는 면제와 예외가 존재하고, 변화가능성을 내포하고 있으므로 기존의 획일적이고, 확정적인 행정법보다 우선시 될 수 있습니다</w:t>
      </w:r>
      <w:r w:rsidRPr="00CD2129">
        <w:rPr>
          <w:rFonts w:ascii="돋움" w:eastAsia="돋움" w:hAnsi="돋움" w:cs="굴림" w:hint="eastAsia"/>
          <w:color w:val="1D2129"/>
          <w:kern w:val="0"/>
          <w:sz w:val="22"/>
        </w:rPr>
        <w:t>.</w:t>
      </w:r>
    </w:p>
    <w:p w:rsidR="00CD2129" w:rsidRPr="00CD2129" w:rsidRDefault="00CD2129" w:rsidP="00CD2129">
      <w:pPr>
        <w:widowControl/>
        <w:shd w:val="clear" w:color="auto" w:fill="E7FDB5"/>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7FDB5"/>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w:t>
      </w:r>
      <w:proofErr w:type="spellStart"/>
      <w:r w:rsidRPr="00CD2129">
        <w:rPr>
          <w:rFonts w:ascii="돋움" w:eastAsia="돋움" w:hAnsi="돋움" w:cs="굴림" w:hint="eastAsia"/>
          <w:color w:val="1D2129"/>
          <w:kern w:val="0"/>
          <w:sz w:val="22"/>
        </w:rPr>
        <w:t>차규근</w:t>
      </w:r>
      <w:proofErr w:type="spellEnd"/>
      <w:r w:rsidRPr="00CD2129">
        <w:rPr>
          <w:rFonts w:ascii="돋움" w:eastAsia="돋움" w:hAnsi="돋움" w:cs="굴림" w:hint="eastAsia"/>
          <w:color w:val="1D2129"/>
          <w:kern w:val="0"/>
          <w:sz w:val="22"/>
        </w:rPr>
        <w:t xml:space="preserve"> 변호사에 이어 한국노동연구원의 이규용 박사는 </w:t>
      </w:r>
      <w:proofErr w:type="spellStart"/>
      <w:r w:rsidRPr="00CD2129">
        <w:rPr>
          <w:rFonts w:ascii="돋움" w:eastAsia="돋움" w:hAnsi="돋움" w:cs="굴림" w:hint="eastAsia"/>
          <w:color w:val="1D2129"/>
          <w:kern w:val="0"/>
          <w:sz w:val="22"/>
        </w:rPr>
        <w:t>토론문을</w:t>
      </w:r>
      <w:proofErr w:type="spellEnd"/>
      <w:r w:rsidRPr="00CD2129">
        <w:rPr>
          <w:rFonts w:ascii="돋움" w:eastAsia="돋움" w:hAnsi="돋움" w:cs="굴림" w:hint="eastAsia"/>
          <w:color w:val="1D2129"/>
          <w:kern w:val="0"/>
          <w:sz w:val="22"/>
        </w:rPr>
        <w:t xml:space="preserve"> 통해 불법체류의 발생형태와 대책에 대해서 발표했습니다. 이 박사는 미등록 이주노동자가 발생하는 양태를 네 가지로 분류했습니다.</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tbl>
      <w:tblPr>
        <w:tblW w:w="0" w:type="auto"/>
        <w:tblCellMar>
          <w:left w:w="0" w:type="dxa"/>
          <w:right w:w="0" w:type="dxa"/>
        </w:tblCellMar>
        <w:tblLook w:val="04A0" w:firstRow="1" w:lastRow="0" w:firstColumn="1" w:lastColumn="0" w:noHBand="0" w:noVBand="1"/>
      </w:tblPr>
      <w:tblGrid>
        <w:gridCol w:w="9006"/>
      </w:tblGrid>
      <w:tr w:rsidR="00CD2129" w:rsidRPr="00CD2129" w:rsidTr="00CD2129">
        <w:tc>
          <w:tcPr>
            <w:tcW w:w="9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① 합법적인 체류허가를 통해 지정된 체류기간을 초과하지 않았으나, 합법적 취업허가를 받지 않고 취업하거나 취업사증에 명시된 취업기간이 종료된 후에도 계속 취업 하고 있는 경우.</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② 합법적인 체류허가를 받았으나, 허가 받은 체류기간이 경과하고, 취업허가 없이 불법으로 취업한 경우.</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③ 불법적인 입국을 통해 미등록체류를 하면서 취업허가 없이 불법적으로 취업하는 경우.</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④ 불법적으로 입국하고, 미등록체류 외국인에 대한 합법화 조치에 의해 또는 내국인과의 혼인 등에 의해 합법적인 체류 및 취업허가를 받았으나 체류기간이나 취업기간이 경과한 경우.</w:t>
            </w:r>
          </w:p>
        </w:tc>
      </w:tr>
    </w:tbl>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7FDB5"/>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이러한 분류와 함께 외국인의 불법체류를 결정짓는 요소는 </w:t>
      </w:r>
      <w:proofErr w:type="spellStart"/>
      <w:r w:rsidRPr="00CD2129">
        <w:rPr>
          <w:rFonts w:ascii="돋움" w:eastAsia="돋움" w:hAnsi="돋움" w:cs="굴림" w:hint="eastAsia"/>
          <w:color w:val="1D2129"/>
          <w:kern w:val="0"/>
          <w:sz w:val="22"/>
        </w:rPr>
        <w:t>여러가지가</w:t>
      </w:r>
      <w:proofErr w:type="spellEnd"/>
      <w:r w:rsidRPr="00CD2129">
        <w:rPr>
          <w:rFonts w:ascii="돋움" w:eastAsia="돋움" w:hAnsi="돋움" w:cs="굴림" w:hint="eastAsia"/>
          <w:color w:val="1D2129"/>
          <w:kern w:val="0"/>
          <w:sz w:val="22"/>
        </w:rPr>
        <w:t xml:space="preserve"> 있을 수 있는데, 이 박사는 외국인력의 질(Quality), 입국에 소요된 비용(Cost), 사증심사(Immigration Control), 외국인력의 합법적인 도입 및 관리 시스템(System), 불법체류에 따른 기대손실(Expected Loss), 자진귀국 유인 프로그램(Voluntary Return), </w:t>
      </w:r>
      <w:proofErr w:type="spellStart"/>
      <w:r w:rsidRPr="00CD2129">
        <w:rPr>
          <w:rFonts w:ascii="돋움" w:eastAsia="돋움" w:hAnsi="돋움" w:cs="굴림" w:hint="eastAsia"/>
          <w:color w:val="1D2129"/>
          <w:kern w:val="0"/>
          <w:sz w:val="22"/>
        </w:rPr>
        <w:t>송출국과</w:t>
      </w:r>
      <w:proofErr w:type="spellEnd"/>
      <w:r w:rsidRPr="00CD2129">
        <w:rPr>
          <w:rFonts w:ascii="돋움" w:eastAsia="돋움" w:hAnsi="돋움" w:cs="굴림" w:hint="eastAsia"/>
          <w:color w:val="1D2129"/>
          <w:kern w:val="0"/>
          <w:sz w:val="22"/>
        </w:rPr>
        <w:t xml:space="preserve"> 수입국의 임금격차(Wage gap) 등을 설명했습니다. 불법체류와 불법취업을 감소시키기 위해서는 종합적인 접근이 가장 중요하다고 강조하면서, </w:t>
      </w:r>
      <w:proofErr w:type="spellStart"/>
      <w:r w:rsidRPr="00CD2129">
        <w:rPr>
          <w:rFonts w:ascii="돋움" w:eastAsia="돋움" w:hAnsi="돋움" w:cs="굴림" w:hint="eastAsia"/>
          <w:color w:val="1D2129"/>
          <w:kern w:val="0"/>
          <w:sz w:val="22"/>
        </w:rPr>
        <w:t>Wicramasekara</w:t>
      </w:r>
      <w:proofErr w:type="spellEnd"/>
      <w:r w:rsidRPr="00CD2129">
        <w:rPr>
          <w:rFonts w:ascii="돋움" w:eastAsia="돋움" w:hAnsi="돋움" w:cs="굴림" w:hint="eastAsia"/>
          <w:color w:val="1D2129"/>
          <w:kern w:val="0"/>
          <w:sz w:val="22"/>
        </w:rPr>
        <w:t xml:space="preserve"> (2004)와 </w:t>
      </w:r>
      <w:proofErr w:type="spellStart"/>
      <w:r w:rsidRPr="00CD2129">
        <w:rPr>
          <w:rFonts w:ascii="돋움" w:eastAsia="돋움" w:hAnsi="돋움" w:cs="굴림" w:hint="eastAsia"/>
          <w:color w:val="1D2129"/>
          <w:kern w:val="0"/>
          <w:sz w:val="22"/>
        </w:rPr>
        <w:t>Tapinos</w:t>
      </w:r>
      <w:proofErr w:type="spellEnd"/>
      <w:r w:rsidRPr="00CD2129">
        <w:rPr>
          <w:rFonts w:ascii="돋움" w:eastAsia="돋움" w:hAnsi="돋움" w:cs="굴림" w:hint="eastAsia"/>
          <w:color w:val="1D2129"/>
          <w:kern w:val="0"/>
          <w:sz w:val="22"/>
        </w:rPr>
        <w:t xml:space="preserve"> (2000)의 정책을 소개했습니다.</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tbl>
      <w:tblPr>
        <w:tblW w:w="0" w:type="auto"/>
        <w:tblCellMar>
          <w:left w:w="0" w:type="dxa"/>
          <w:right w:w="0" w:type="dxa"/>
        </w:tblCellMar>
        <w:tblLook w:val="04A0" w:firstRow="1" w:lastRow="0" w:firstColumn="1" w:lastColumn="0" w:noHBand="0" w:noVBand="1"/>
      </w:tblPr>
      <w:tblGrid>
        <w:gridCol w:w="7558"/>
        <w:gridCol w:w="1448"/>
      </w:tblGrid>
      <w:tr w:rsidR="00CD2129" w:rsidRPr="00CD2129" w:rsidTr="00CD2129">
        <w:tc>
          <w:tcPr>
            <w:tcW w:w="4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proofErr w:type="spellStart"/>
            <w:r w:rsidRPr="00CD2129">
              <w:rPr>
                <w:rFonts w:ascii="돋움" w:eastAsia="돋움" w:hAnsi="돋움" w:cs="Helvetica" w:hint="eastAsia"/>
                <w:color w:val="1D2129"/>
                <w:kern w:val="0"/>
                <w:sz w:val="22"/>
              </w:rPr>
              <w:t>Wickramasekara</w:t>
            </w:r>
            <w:proofErr w:type="spellEnd"/>
            <w:r w:rsidRPr="00CD2129">
              <w:rPr>
                <w:rFonts w:ascii="돋움" w:eastAsia="돋움" w:hAnsi="돋움" w:cs="Helvetica" w:hint="eastAsia"/>
                <w:color w:val="1D2129"/>
                <w:kern w:val="0"/>
                <w:sz w:val="22"/>
              </w:rPr>
              <w:t xml:space="preserve"> (2004)</w:t>
            </w:r>
          </w:p>
        </w:tc>
        <w:tc>
          <w:tcPr>
            <w:tcW w:w="4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proofErr w:type="spellStart"/>
            <w:r w:rsidRPr="00CD2129">
              <w:rPr>
                <w:rFonts w:ascii="돋움" w:eastAsia="돋움" w:hAnsi="돋움" w:cs="Helvetica" w:hint="eastAsia"/>
                <w:color w:val="1D2129"/>
                <w:kern w:val="0"/>
                <w:sz w:val="22"/>
              </w:rPr>
              <w:t>Tapinos</w:t>
            </w:r>
            <w:proofErr w:type="spellEnd"/>
            <w:r w:rsidRPr="00CD2129">
              <w:rPr>
                <w:rFonts w:ascii="돋움" w:eastAsia="돋움" w:hAnsi="돋움" w:cs="Helvetica" w:hint="eastAsia"/>
                <w:color w:val="1D2129"/>
                <w:kern w:val="0"/>
                <w:sz w:val="22"/>
              </w:rPr>
              <w:t xml:space="preserve"> (2000)</w:t>
            </w:r>
          </w:p>
        </w:tc>
      </w:tr>
      <w:tr w:rsidR="00CD2129" w:rsidRPr="00CD2129" w:rsidTr="00CD2129">
        <w:tc>
          <w:tcPr>
            <w:tcW w:w="4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① 외국인의 유입단계 내지는 예방단계의 정책</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② 귀국, </w:t>
            </w:r>
            <w:proofErr w:type="spellStart"/>
            <w:r w:rsidRPr="00CD2129">
              <w:rPr>
                <w:rFonts w:ascii="돋움" w:eastAsia="돋움" w:hAnsi="돋움" w:cs="굴림" w:hint="eastAsia"/>
                <w:color w:val="1D2129"/>
                <w:kern w:val="0"/>
                <w:sz w:val="22"/>
              </w:rPr>
              <w:t>재입국</w:t>
            </w:r>
            <w:proofErr w:type="spellEnd"/>
            <w:r w:rsidRPr="00CD2129">
              <w:rPr>
                <w:rFonts w:ascii="돋움" w:eastAsia="돋움" w:hAnsi="돋움" w:cs="굴림" w:hint="eastAsia"/>
                <w:color w:val="1D2129"/>
                <w:kern w:val="0"/>
                <w:sz w:val="22"/>
              </w:rPr>
              <w:t>, 제재와 처벌을 통한 불법체류 및 불법취업을 억제하는 정책</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③ 합법화 조치</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④ 양국간 및 지역적 협력</w:t>
            </w:r>
          </w:p>
        </w:tc>
        <w:tc>
          <w:tcPr>
            <w:tcW w:w="4612" w:type="dxa"/>
            <w:tcBorders>
              <w:top w:val="nil"/>
              <w:left w:val="nil"/>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① 외국인력의 유입과 체류기간에 대한 통제</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② 외국인력의 불법고용에 대한 통제</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③ 자유무역과 협력을 통한 </w:t>
            </w:r>
            <w:proofErr w:type="spellStart"/>
            <w:r w:rsidRPr="00CD2129">
              <w:rPr>
                <w:rFonts w:ascii="돋움" w:eastAsia="돋움" w:hAnsi="돋움" w:cs="굴림" w:hint="eastAsia"/>
                <w:color w:val="1D2129"/>
                <w:kern w:val="0"/>
                <w:sz w:val="22"/>
              </w:rPr>
              <w:t>송출국에서의</w:t>
            </w:r>
            <w:proofErr w:type="spellEnd"/>
            <w:r w:rsidRPr="00CD2129">
              <w:rPr>
                <w:rFonts w:ascii="돋움" w:eastAsia="돋움" w:hAnsi="돋움" w:cs="굴림" w:hint="eastAsia"/>
                <w:color w:val="1D2129"/>
                <w:kern w:val="0"/>
                <w:sz w:val="22"/>
              </w:rPr>
              <w:t xml:space="preserve"> 인력유출 압력의 완화</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Helvetica" w:hint="eastAsia"/>
                <w:color w:val="1D2129"/>
                <w:kern w:val="0"/>
                <w:sz w:val="22"/>
              </w:rPr>
              <w:t> </w:t>
            </w:r>
          </w:p>
        </w:tc>
      </w:tr>
    </w:tbl>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7FDB5"/>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하지만 이러한 정책도 비정규이주 자체를 최소화하기 위한 올바른 접근방법이 기본적으로 이루어져야 가능한데, </w:t>
      </w:r>
      <w:proofErr w:type="spellStart"/>
      <w:r w:rsidRPr="00CD2129">
        <w:rPr>
          <w:rFonts w:ascii="돋움" w:eastAsia="돋움" w:hAnsi="돋움" w:cs="굴림" w:hint="eastAsia"/>
          <w:color w:val="1D2129"/>
          <w:kern w:val="0"/>
          <w:sz w:val="22"/>
        </w:rPr>
        <w:t>Wickramasekara</w:t>
      </w:r>
      <w:proofErr w:type="spellEnd"/>
      <w:r w:rsidRPr="00CD2129">
        <w:rPr>
          <w:rFonts w:ascii="돋움" w:eastAsia="돋움" w:hAnsi="돋움" w:cs="굴림" w:hint="eastAsia"/>
          <w:color w:val="1D2129"/>
          <w:kern w:val="0"/>
          <w:sz w:val="22"/>
        </w:rPr>
        <w:t xml:space="preserve"> (2004)의 8가지 접근방법은 우리가 비정규이주 문제를 어떻게 바라보아야 하는지 알려주고 있습니다.</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tbl>
      <w:tblPr>
        <w:tblW w:w="0" w:type="auto"/>
        <w:tblCellMar>
          <w:left w:w="0" w:type="dxa"/>
          <w:right w:w="0" w:type="dxa"/>
        </w:tblCellMar>
        <w:tblLook w:val="04A0" w:firstRow="1" w:lastRow="0" w:firstColumn="1" w:lastColumn="0" w:noHBand="0" w:noVBand="1"/>
      </w:tblPr>
      <w:tblGrid>
        <w:gridCol w:w="9006"/>
      </w:tblGrid>
      <w:tr w:rsidR="00CD2129" w:rsidRPr="00CD2129" w:rsidTr="00CD2129">
        <w:tc>
          <w:tcPr>
            <w:tcW w:w="9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① 근로자의 권리를 존중하는 외국인력 관리체계를 구축하라.</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② 비정규이주를 법률문제나 안보문제로 다루지 말고 노동시장문제로 다루어라.</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③ </w:t>
            </w:r>
            <w:proofErr w:type="spellStart"/>
            <w:r w:rsidRPr="00CD2129">
              <w:rPr>
                <w:rFonts w:ascii="돋움" w:eastAsia="돋움" w:hAnsi="돋움" w:cs="굴림" w:hint="eastAsia"/>
                <w:color w:val="1D2129"/>
                <w:kern w:val="0"/>
                <w:sz w:val="22"/>
              </w:rPr>
              <w:t>송출국에서의</w:t>
            </w:r>
            <w:proofErr w:type="spellEnd"/>
            <w:r w:rsidRPr="00CD2129">
              <w:rPr>
                <w:rFonts w:ascii="돋움" w:eastAsia="돋움" w:hAnsi="돋움" w:cs="굴림" w:hint="eastAsia"/>
                <w:color w:val="1D2129"/>
                <w:kern w:val="0"/>
                <w:sz w:val="22"/>
              </w:rPr>
              <w:t xml:space="preserve"> 빈곤과 실업의 근본원인을 치유하라.</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④ 수입국에서의 외국인의 불법고용을 해결하기 위한 조치를 취하라.</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⑤ 정부, </w:t>
            </w:r>
            <w:proofErr w:type="spellStart"/>
            <w:r w:rsidRPr="00CD2129">
              <w:rPr>
                <w:rFonts w:ascii="돋움" w:eastAsia="돋움" w:hAnsi="돋움" w:cs="굴림" w:hint="eastAsia"/>
                <w:color w:val="1D2129"/>
                <w:kern w:val="0"/>
                <w:sz w:val="22"/>
              </w:rPr>
              <w:t>경영계</w:t>
            </w:r>
            <w:proofErr w:type="spellEnd"/>
            <w:r w:rsidRPr="00CD2129">
              <w:rPr>
                <w:rFonts w:ascii="돋움" w:eastAsia="돋움" w:hAnsi="돋움" w:cs="굴림" w:hint="eastAsia"/>
                <w:color w:val="1D2129"/>
                <w:kern w:val="0"/>
                <w:sz w:val="22"/>
              </w:rPr>
              <w:t>, 노동계, 시민사회 간의 협력 등 국제이주문제를 다룰 사회적 협의체를 구성하라.</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⑥ 투명하고 합법적인 외국인력 활용 메커니즘을 만들어라.</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⑦ 모든 사회구성원들에게 외국인력의 합법적 활용의 이득과 불법적 활용의 위험에 대해서 적극 홍보하라.</w:t>
            </w:r>
          </w:p>
          <w:p w:rsidR="00CD2129" w:rsidRPr="00CD2129" w:rsidRDefault="00CD2129" w:rsidP="00CD2129">
            <w:pPr>
              <w:widowControl/>
              <w:wordWrap/>
              <w:autoSpaceDE/>
              <w:autoSpaceDN/>
              <w:spacing w:after="0" w:line="240" w:lineRule="auto"/>
              <w:jc w:val="left"/>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⑧ </w:t>
            </w:r>
            <w:proofErr w:type="spellStart"/>
            <w:r w:rsidRPr="00CD2129">
              <w:rPr>
                <w:rFonts w:ascii="돋움" w:eastAsia="돋움" w:hAnsi="돋움" w:cs="굴림" w:hint="eastAsia"/>
                <w:color w:val="1D2129"/>
                <w:kern w:val="0"/>
                <w:sz w:val="22"/>
              </w:rPr>
              <w:t>송출국과</w:t>
            </w:r>
            <w:proofErr w:type="spellEnd"/>
            <w:r w:rsidRPr="00CD2129">
              <w:rPr>
                <w:rFonts w:ascii="돋움" w:eastAsia="돋움" w:hAnsi="돋움" w:cs="굴림" w:hint="eastAsia"/>
                <w:color w:val="1D2129"/>
                <w:kern w:val="0"/>
                <w:sz w:val="22"/>
              </w:rPr>
              <w:t xml:space="preserve"> 수입국의 양국간 또는 지역적 협력을 강화하라.</w:t>
            </w:r>
          </w:p>
        </w:tc>
      </w:tr>
    </w:tbl>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E7FDB5"/>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마지막으로 이 박사는 현재 국제노동기구(ILO)에서 언급하고 있는 미등록이주민을 감소시킬 수 있는 대안으로서의 ‘합법화 조치(Legalization, Regularization, 또는 Amnesty)를 비판했습니다. 합법화 조치는 미등록 이주민의 수고 너무 많을 때 이를 현실적으로 받아들인 후 향후 조치를 취하는 방법인데, 이미 한국을 포함한 여러 나라에서 이러한 조치를 시행한적이 있습니다. 하지만, 합법화 조치는 또 다른 형태의 미등록 이주를 야기시킬 수 있고, 미등록 체류의 근본적인 원인을 해결하지 못하는 미봉책에 불과합니다. 또한 미등록 이주민의 증가에 따른 범죄 증가와 인권침해 등의 사회문제를 유발할 수 있기 때문에 신중하게 접근할 필요가 있다고 주장했습니다.</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shd w:val="clear" w:color="auto" w:fill="DBE8FB"/>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약 5시간에 걸친 이번 학술대회는 미등록 체류와 이주민의 현실과 그 대응에 대한 이론적인 접근과 실무적인 접근을 모두 접해볼 수 있는 시간이었습니다. 특히, 실무 또는 이론적 관점의 발표와 이에 뒤따르는 다양한 관점의 토론은 한국사회에서 미등록 이주민이 처한 어려운 현실을 설명해주기에 충분했습니다. 또한 법과 행정적 절차의 보완과 수정이 가장 시급한 문제이지만, 동시에 미등록 체류와 외국인 문제를 바라보는 다양한 분야의 관점과 성찰이 동반되어야 한다는 것을 알 수 있었습니다. </w:t>
      </w:r>
    </w:p>
    <w:p w:rsidR="00CD2129" w:rsidRPr="00CD2129" w:rsidRDefault="00CD2129" w:rsidP="00CD2129">
      <w:pPr>
        <w:widowControl/>
        <w:shd w:val="clear" w:color="auto" w:fill="DBE8FB"/>
        <w:wordWrap/>
        <w:autoSpaceDE/>
        <w:autoSpaceDN/>
        <w:spacing w:after="0" w:line="240" w:lineRule="auto"/>
        <w:ind w:firstLine="190"/>
        <w:rPr>
          <w:rFonts w:ascii="맑은 고딕" w:eastAsia="맑은 고딕" w:hAnsi="맑은 고딕" w:cs="굴림" w:hint="eastAsia"/>
          <w:color w:val="000000"/>
          <w:kern w:val="0"/>
          <w:szCs w:val="20"/>
        </w:rPr>
      </w:pPr>
      <w:r w:rsidRPr="00CD2129">
        <w:rPr>
          <w:rFonts w:ascii="돋움" w:eastAsia="돋움" w:hAnsi="돋움" w:cs="굴림" w:hint="eastAsia"/>
          <w:color w:val="1D2129"/>
          <w:kern w:val="0"/>
          <w:sz w:val="22"/>
        </w:rPr>
        <w:t xml:space="preserve">자신이 처한 어려운 상황을 극복하고, 더 나은 삶을 살고자 하는 의지는 거의 모든 인류가 지니고 있는 본능과 같을 것입니다. 이처럼 이주노동자 또는 외국인이 다양한 이유를 통해 국경을 두드리는 것은 어찌 보면 당연한 행동일 수 있습니다. 우리나라 또한 1960년대 어려운 국가 경제의 돌파구를 마련하기 위해 이주노동을 택한 수많은 </w:t>
      </w:r>
      <w:proofErr w:type="spellStart"/>
      <w:r w:rsidRPr="00CD2129">
        <w:rPr>
          <w:rFonts w:ascii="돋움" w:eastAsia="돋움" w:hAnsi="돋움" w:cs="굴림" w:hint="eastAsia"/>
          <w:color w:val="1D2129"/>
          <w:kern w:val="0"/>
          <w:sz w:val="22"/>
        </w:rPr>
        <w:t>파독광부와</w:t>
      </w:r>
      <w:proofErr w:type="spellEnd"/>
      <w:r w:rsidRPr="00CD2129">
        <w:rPr>
          <w:rFonts w:ascii="돋움" w:eastAsia="돋움" w:hAnsi="돋움" w:cs="굴림" w:hint="eastAsia"/>
          <w:color w:val="1D2129"/>
          <w:kern w:val="0"/>
          <w:sz w:val="22"/>
        </w:rPr>
        <w:t xml:space="preserve"> 간호사가 있습니다. 그 중 상당수는 독일에 계속 체류하거나 제3국에서 또 다른 삶을 시작했다고 합니다. 이러한 예를 든 이유는 ‘우리나라 국민도 타국에서 경험해보았으니, 이제는 우리나라에 온 이주민 문제에 적극적으로 대응해보자’의 관점이 아닌 ‘이주노동과 체류 등의 문제는 시대와 계층, 국가를 막론하고 언제든지 일어날 수 있으며, 그 규모와 형태 등만 다를 뿐 지금까지도 계속 이어지고 있고, 우리 국민도 이 흐름에서 예외는 아니다’라는 것입니다. 우리나라에 온 이주민의 상황과 원인을 우선적으로 이해하고, 체류자격과 환경, 인권 등의 문제에 대해서 성찰하는 것은 앞서 말한 전세계적인 이주와 노동의 흐름을 이해하는데 출발점이 될 수 있을 뿐만 아니라, 미등록 체류와 외국인과 관련된 사회문제에 조금 더 선제적으로 대응할 수 있을 것입니다. 또한 이러한 흐름과 문제를 이해는 한국의 이주민에 대한 올바른 정책뿐만 아니라 외국에 체류하는 자국민 보호를 위한 정책의 기초가 될 수 있고, 이는 불법체류와 이주문제가 더 이상 사회 일부 계층만의 문제가 아닌 ‘우리’의 문제라는 인식이 기반이 되어야 가능 할 것이라고 생각합니다.</w:t>
      </w:r>
    </w:p>
    <w:p w:rsidR="00CD2129" w:rsidRPr="00CD2129" w:rsidRDefault="00CD2129" w:rsidP="00CD2129">
      <w:pPr>
        <w:widowControl/>
        <w:wordWrap/>
        <w:autoSpaceDE/>
        <w:autoSpaceDN/>
        <w:spacing w:after="0" w:line="240" w:lineRule="auto"/>
        <w:ind w:firstLine="190"/>
        <w:rPr>
          <w:rFonts w:ascii="맑은 고딕" w:eastAsia="맑은 고딕" w:hAnsi="맑은 고딕" w:cs="굴림" w:hint="eastAsia"/>
          <w:color w:val="000000"/>
          <w:kern w:val="0"/>
          <w:szCs w:val="20"/>
        </w:rPr>
      </w:pPr>
    </w:p>
    <w:p w:rsidR="00CD2129" w:rsidRPr="00CD2129" w:rsidRDefault="00CD2129" w:rsidP="00CD2129">
      <w:pPr>
        <w:widowControl/>
        <w:wordWrap/>
        <w:autoSpaceDE/>
        <w:autoSpaceDN/>
        <w:spacing w:after="0" w:line="240" w:lineRule="auto"/>
        <w:ind w:firstLine="190"/>
        <w:jc w:val="right"/>
        <w:rPr>
          <w:rFonts w:ascii="맑은 고딕" w:eastAsia="맑은 고딕" w:hAnsi="맑은 고딕" w:cs="굴림" w:hint="eastAsia"/>
          <w:color w:val="000000"/>
          <w:kern w:val="0"/>
          <w:szCs w:val="20"/>
        </w:rPr>
      </w:pPr>
      <w:r w:rsidRPr="00CD2129">
        <w:rPr>
          <w:rFonts w:ascii="돋움" w:eastAsia="돋움" w:hAnsi="돋움" w:cs="Helvetica" w:hint="eastAsia"/>
          <w:color w:val="1D2129"/>
          <w:kern w:val="0"/>
          <w:sz w:val="22"/>
        </w:rPr>
        <w:t>&lt; 후기작성: 12기 인턴 윤지수 &gt;</w:t>
      </w:r>
    </w:p>
    <w:p w:rsidR="00B62688" w:rsidRPr="00CD2129" w:rsidRDefault="00B62688"/>
    <w:sectPr w:rsidR="00B62688" w:rsidRPr="00CD212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29"/>
    <w:rsid w:val="00B62688"/>
    <w:rsid w:val="00CD21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11D91-5E50-45AB-971A-495D1275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CD2129"/>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CD2129"/>
    <w:rPr>
      <w:rFonts w:ascii="굴림" w:eastAsia="굴림" w:hAnsi="굴림" w:cs="굴림"/>
      <w:b/>
      <w:bCs/>
      <w:kern w:val="0"/>
      <w:sz w:val="36"/>
      <w:szCs w:val="36"/>
    </w:rPr>
  </w:style>
  <w:style w:type="paragraph" w:styleId="a3">
    <w:name w:val="Normal (Web)"/>
    <w:basedOn w:val="a"/>
    <w:uiPriority w:val="99"/>
    <w:semiHidden/>
    <w:unhideWhenUsed/>
    <w:rsid w:val="00CD212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List Paragraph"/>
    <w:basedOn w:val="a"/>
    <w:uiPriority w:val="34"/>
    <w:qFormat/>
    <w:rsid w:val="00CD2129"/>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CD2129"/>
  </w:style>
  <w:style w:type="character" w:customStyle="1" w:styleId="apple-tab-span">
    <w:name w:val="apple-tab-span"/>
    <w:basedOn w:val="a0"/>
    <w:rsid w:val="00CD2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8058">
      <w:bodyDiv w:val="1"/>
      <w:marLeft w:val="0"/>
      <w:marRight w:val="0"/>
      <w:marTop w:val="0"/>
      <w:marBottom w:val="0"/>
      <w:divBdr>
        <w:top w:val="none" w:sz="0" w:space="0" w:color="auto"/>
        <w:left w:val="none" w:sz="0" w:space="0" w:color="auto"/>
        <w:bottom w:val="none" w:sz="0" w:space="0" w:color="auto"/>
        <w:right w:val="none" w:sz="0" w:space="0" w:color="auto"/>
      </w:divBdr>
      <w:divsChild>
        <w:div w:id="2033529920">
          <w:marLeft w:val="0"/>
          <w:marRight w:val="0"/>
          <w:marTop w:val="0"/>
          <w:marBottom w:val="0"/>
          <w:divBdr>
            <w:top w:val="dashed" w:sz="6" w:space="8" w:color="C1C1C1"/>
            <w:left w:val="dashed" w:sz="6" w:space="8" w:color="C1C1C1"/>
            <w:bottom w:val="dashed" w:sz="6" w:space="8" w:color="C1C1C1"/>
            <w:right w:val="dashed" w:sz="6" w:space="8" w:color="C1C1C1"/>
          </w:divBdr>
        </w:div>
        <w:div w:id="1515916143">
          <w:marLeft w:val="0"/>
          <w:marRight w:val="0"/>
          <w:marTop w:val="0"/>
          <w:marBottom w:val="0"/>
          <w:divBdr>
            <w:top w:val="dashed" w:sz="6" w:space="8" w:color="C1C1C1"/>
            <w:left w:val="dashed" w:sz="6" w:space="8" w:color="C1C1C1"/>
            <w:bottom w:val="dashed" w:sz="6" w:space="8" w:color="C1C1C1"/>
            <w:right w:val="dashed" w:sz="6" w:space="8" w:color="C1C1C1"/>
          </w:divBdr>
        </w:div>
        <w:div w:id="1952201786">
          <w:marLeft w:val="0"/>
          <w:marRight w:val="0"/>
          <w:marTop w:val="0"/>
          <w:marBottom w:val="0"/>
          <w:divBdr>
            <w:top w:val="dashed" w:sz="6" w:space="8" w:color="C1C1C1"/>
            <w:left w:val="dashed" w:sz="6" w:space="8" w:color="C1C1C1"/>
            <w:bottom w:val="dashed" w:sz="6" w:space="8" w:color="C1C1C1"/>
            <w:right w:val="dashed" w:sz="6" w:space="8" w:color="C1C1C1"/>
          </w:divBdr>
        </w:div>
        <w:div w:id="266666403">
          <w:marLeft w:val="0"/>
          <w:marRight w:val="0"/>
          <w:marTop w:val="0"/>
          <w:marBottom w:val="0"/>
          <w:divBdr>
            <w:top w:val="dashed" w:sz="6" w:space="8" w:color="C1C1C1"/>
            <w:left w:val="dashed" w:sz="6" w:space="8" w:color="C1C1C1"/>
            <w:bottom w:val="dashed" w:sz="6" w:space="8" w:color="C1C1C1"/>
            <w:right w:val="dashed" w:sz="6" w:space="8" w:color="C1C1C1"/>
          </w:divBdr>
        </w:div>
        <w:div w:id="1384598994">
          <w:marLeft w:val="0"/>
          <w:marRight w:val="0"/>
          <w:marTop w:val="0"/>
          <w:marBottom w:val="0"/>
          <w:divBdr>
            <w:top w:val="dashed" w:sz="6" w:space="8" w:color="F3C534"/>
            <w:left w:val="dashed" w:sz="6" w:space="8" w:color="F3C534"/>
            <w:bottom w:val="dashed" w:sz="6" w:space="8" w:color="F3C534"/>
            <w:right w:val="dashed" w:sz="6" w:space="8" w:color="F3C534"/>
          </w:divBdr>
        </w:div>
        <w:div w:id="467742346">
          <w:marLeft w:val="0"/>
          <w:marRight w:val="0"/>
          <w:marTop w:val="0"/>
          <w:marBottom w:val="0"/>
          <w:divBdr>
            <w:top w:val="dashed" w:sz="6" w:space="8" w:color="F3C534"/>
            <w:left w:val="dashed" w:sz="6" w:space="8" w:color="F3C534"/>
            <w:bottom w:val="dashed" w:sz="6" w:space="8" w:color="F3C534"/>
            <w:right w:val="dashed" w:sz="6" w:space="8" w:color="F3C534"/>
          </w:divBdr>
        </w:div>
        <w:div w:id="1455248834">
          <w:marLeft w:val="0"/>
          <w:marRight w:val="0"/>
          <w:marTop w:val="0"/>
          <w:marBottom w:val="0"/>
          <w:divBdr>
            <w:top w:val="dashed" w:sz="6" w:space="8" w:color="F3C534"/>
            <w:left w:val="dashed" w:sz="6" w:space="8" w:color="F3C534"/>
            <w:bottom w:val="dashed" w:sz="6" w:space="8" w:color="F3C534"/>
            <w:right w:val="dashed" w:sz="6" w:space="8" w:color="F3C534"/>
          </w:divBdr>
        </w:div>
        <w:div w:id="529027592">
          <w:marLeft w:val="0"/>
          <w:marRight w:val="0"/>
          <w:marTop w:val="0"/>
          <w:marBottom w:val="0"/>
          <w:divBdr>
            <w:top w:val="dashed" w:sz="6" w:space="8" w:color="F3C534"/>
            <w:left w:val="dashed" w:sz="6" w:space="8" w:color="F3C534"/>
            <w:bottom w:val="dashed" w:sz="6" w:space="8" w:color="F3C534"/>
            <w:right w:val="dashed" w:sz="6" w:space="8" w:color="F3C534"/>
          </w:divBdr>
        </w:div>
        <w:div w:id="1767923923">
          <w:marLeft w:val="0"/>
          <w:marRight w:val="0"/>
          <w:marTop w:val="0"/>
          <w:marBottom w:val="0"/>
          <w:divBdr>
            <w:top w:val="dashed" w:sz="6" w:space="8" w:color="F3C534"/>
            <w:left w:val="dashed" w:sz="6" w:space="8" w:color="F3C534"/>
            <w:bottom w:val="dashed" w:sz="6" w:space="8" w:color="F3C534"/>
            <w:right w:val="dashed" w:sz="6" w:space="8" w:color="F3C534"/>
          </w:divBdr>
        </w:div>
        <w:div w:id="636228272">
          <w:marLeft w:val="0"/>
          <w:marRight w:val="0"/>
          <w:marTop w:val="0"/>
          <w:marBottom w:val="0"/>
          <w:divBdr>
            <w:top w:val="dashed" w:sz="6" w:space="8" w:color="9FD331"/>
            <w:left w:val="dashed" w:sz="6" w:space="8" w:color="9FD331"/>
            <w:bottom w:val="dashed" w:sz="6" w:space="8" w:color="9FD331"/>
            <w:right w:val="dashed" w:sz="6" w:space="8" w:color="9FD331"/>
          </w:divBdr>
        </w:div>
        <w:div w:id="154031154">
          <w:marLeft w:val="0"/>
          <w:marRight w:val="0"/>
          <w:marTop w:val="0"/>
          <w:marBottom w:val="0"/>
          <w:divBdr>
            <w:top w:val="dashed" w:sz="6" w:space="8" w:color="9FD331"/>
            <w:left w:val="dashed" w:sz="6" w:space="8" w:color="9FD331"/>
            <w:bottom w:val="dashed" w:sz="6" w:space="8" w:color="9FD331"/>
            <w:right w:val="dashed" w:sz="6" w:space="8" w:color="9FD331"/>
          </w:divBdr>
        </w:div>
        <w:div w:id="1424258426">
          <w:marLeft w:val="0"/>
          <w:marRight w:val="0"/>
          <w:marTop w:val="0"/>
          <w:marBottom w:val="0"/>
          <w:divBdr>
            <w:top w:val="dashed" w:sz="6" w:space="8" w:color="9FD331"/>
            <w:left w:val="dashed" w:sz="6" w:space="8" w:color="9FD331"/>
            <w:bottom w:val="dashed" w:sz="6" w:space="8" w:color="9FD331"/>
            <w:right w:val="dashed" w:sz="6" w:space="8" w:color="9FD331"/>
          </w:divBdr>
        </w:div>
        <w:div w:id="1582108040">
          <w:marLeft w:val="0"/>
          <w:marRight w:val="0"/>
          <w:marTop w:val="0"/>
          <w:marBottom w:val="0"/>
          <w:divBdr>
            <w:top w:val="dashed" w:sz="6" w:space="8" w:color="9FD331"/>
            <w:left w:val="dashed" w:sz="6" w:space="8" w:color="9FD331"/>
            <w:bottom w:val="dashed" w:sz="6" w:space="8" w:color="9FD331"/>
            <w:right w:val="dashed" w:sz="6" w:space="8" w:color="9FD331"/>
          </w:divBdr>
        </w:div>
        <w:div w:id="1478959048">
          <w:marLeft w:val="0"/>
          <w:marRight w:val="0"/>
          <w:marTop w:val="0"/>
          <w:marBottom w:val="0"/>
          <w:divBdr>
            <w:top w:val="dashed" w:sz="6" w:space="8" w:color="9FD331"/>
            <w:left w:val="dashed" w:sz="6" w:space="8" w:color="9FD331"/>
            <w:bottom w:val="dashed" w:sz="6" w:space="8" w:color="9FD331"/>
            <w:right w:val="dashed" w:sz="6" w:space="8" w:color="9FD331"/>
          </w:divBdr>
        </w:div>
        <w:div w:id="1006206683">
          <w:marLeft w:val="0"/>
          <w:marRight w:val="0"/>
          <w:marTop w:val="0"/>
          <w:marBottom w:val="0"/>
          <w:divBdr>
            <w:top w:val="dashed" w:sz="6" w:space="8" w:color="79A5E4"/>
            <w:left w:val="dashed" w:sz="6" w:space="8" w:color="79A5E4"/>
            <w:bottom w:val="dashed" w:sz="6" w:space="8" w:color="79A5E4"/>
            <w:right w:val="dashed" w:sz="6" w:space="8" w:color="79A5E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2327</Words>
  <Characters>13267</Characters>
  <Application>Microsoft Office Word</Application>
  <DocSecurity>0</DocSecurity>
  <Lines>110</Lines>
  <Paragraphs>31</Paragraphs>
  <ScaleCrop>false</ScaleCrop>
  <HeadingPairs>
    <vt:vector size="4" baseType="variant">
      <vt:variant>
        <vt:lpstr>제목</vt:lpstr>
      </vt:variant>
      <vt:variant>
        <vt:i4>1</vt:i4>
      </vt:variant>
      <vt:variant>
        <vt:lpstr>머리글</vt:lpstr>
      </vt:variant>
      <vt:variant>
        <vt:i4>2</vt:i4>
      </vt:variant>
    </vt:vector>
  </HeadingPairs>
  <TitlesOfParts>
    <vt:vector size="3" baseType="lpstr">
      <vt:lpstr/>
      <vt:lpstr>    2016년 추계공동학술대회 후기</vt:lpstr>
      <vt:lpstr>    - '불법체류와 법치행정'</vt:lpstr>
    </vt:vector>
  </TitlesOfParts>
  <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YEON JUN</dc:creator>
  <cp:keywords/>
  <dc:description/>
  <cp:lastModifiedBy>SOO YEON JUN</cp:lastModifiedBy>
  <cp:revision>1</cp:revision>
  <dcterms:created xsi:type="dcterms:W3CDTF">2016-12-02T08:38:00Z</dcterms:created>
  <dcterms:modified xsi:type="dcterms:W3CDTF">2016-12-02T08:38:00Z</dcterms:modified>
</cp:coreProperties>
</file>